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CA03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E6C80E5" wp14:editId="2399D49E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CDB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529C1D21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4A165C8B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56E92D5E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E4611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52C8A0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27E782C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9118A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AE0DC" w14:textId="59837772" w:rsidR="00802A42" w:rsidRPr="00802A42" w:rsidRDefault="00D476AA" w:rsidP="00D476A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468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34121E0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D72EE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2EEE52A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DA216D" w14:textId="77777777" w:rsidR="008F78EB" w:rsidRPr="003742E6" w:rsidRDefault="008F78EB" w:rsidP="0037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F9C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2F5F9C" w:rsidRPr="002F5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E86ACB" w:rsidRPr="00E86AC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F5F9C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484109A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1CE960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31ABD8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9A3824" w14:textId="7777777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2F5F9C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E86ACB" w:rsidRPr="00E86ACB">
        <w:rPr>
          <w:b w:val="0"/>
          <w:color w:val="000000" w:themeColor="text1"/>
          <w:sz w:val="28"/>
          <w:szCs w:val="28"/>
        </w:rPr>
        <w:t>«Дворец культуры «</w:t>
      </w:r>
      <w:proofErr w:type="spellStart"/>
      <w:r w:rsidR="00E86ACB" w:rsidRPr="00E86ACB">
        <w:rPr>
          <w:b w:val="0"/>
          <w:color w:val="000000" w:themeColor="text1"/>
          <w:sz w:val="28"/>
          <w:szCs w:val="28"/>
        </w:rPr>
        <w:t>Гольмовский</w:t>
      </w:r>
      <w:proofErr w:type="spellEnd"/>
      <w:r w:rsidR="00E86ACB" w:rsidRPr="00E86ACB">
        <w:rPr>
          <w:b w:val="0"/>
          <w:color w:val="000000" w:themeColor="text1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</w:t>
      </w:r>
      <w:r w:rsidR="00994A6A">
        <w:rPr>
          <w:b w:val="0"/>
          <w:sz w:val="28"/>
          <w:szCs w:val="28"/>
        </w:rPr>
        <w:t xml:space="preserve"> октября 2003 года № 131-ФЗ «Об </w:t>
      </w:r>
      <w:r w:rsidRPr="008F78EB">
        <w:rPr>
          <w:b w:val="0"/>
          <w:sz w:val="28"/>
          <w:szCs w:val="28"/>
        </w:rPr>
        <w:t>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 w:rsidR="00994A6A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 w:rsidR="00994A6A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 w:rsidR="00994A6A">
        <w:rPr>
          <w:b w:val="0"/>
          <w:sz w:val="28"/>
          <w:szCs w:val="28"/>
        </w:rPr>
        <w:t xml:space="preserve"> Донецкой </w:t>
      </w:r>
      <w:r>
        <w:rPr>
          <w:b w:val="0"/>
          <w:sz w:val="28"/>
          <w:szCs w:val="28"/>
        </w:rPr>
        <w:t>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 w:rsidR="00994A6A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94A6A">
        <w:rPr>
          <w:b w:val="0"/>
          <w:sz w:val="28"/>
          <w:szCs w:val="28"/>
        </w:rPr>
        <w:t xml:space="preserve"> </w:t>
      </w:r>
      <w:r w:rsidRPr="00994A6A">
        <w:rPr>
          <w:b w:val="0"/>
          <w:sz w:val="28"/>
          <w:szCs w:val="28"/>
        </w:rPr>
        <w:t xml:space="preserve">(с изменениями от </w:t>
      </w:r>
      <w:r w:rsidR="00994A6A">
        <w:rPr>
          <w:b w:val="0"/>
          <w:sz w:val="28"/>
          <w:szCs w:val="28"/>
        </w:rPr>
        <w:t xml:space="preserve">          </w:t>
      </w:r>
      <w:r w:rsidRPr="00994A6A">
        <w:rPr>
          <w:b w:val="0"/>
          <w:sz w:val="28"/>
          <w:szCs w:val="28"/>
        </w:rPr>
        <w:t xml:space="preserve">03 апреля 2024 года № </w:t>
      </w:r>
      <w:r w:rsidRPr="00994A6A">
        <w:rPr>
          <w:b w:val="0"/>
          <w:sz w:val="28"/>
          <w:szCs w:val="28"/>
          <w:lang w:val="en-US"/>
        </w:rPr>
        <w:t>I</w:t>
      </w:r>
      <w:r w:rsidRPr="00994A6A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0D68902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FD2A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2503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0DFC9405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73A4A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404BF" w14:textId="77777777" w:rsidR="008F78EB" w:rsidRPr="00994A6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63B14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8011B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4E06E163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1702C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EF6B4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73946B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9ADC4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3A6C449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14A85" w14:textId="77777777" w:rsidR="008F78EB" w:rsidRPr="00994A6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 xml:space="preserve"> </w:t>
      </w:r>
      <w:r w:rsidR="00E86ACB">
        <w:rPr>
          <w:rFonts w:ascii="Times New Roman" w:hAnsi="Times New Roman"/>
          <w:sz w:val="28"/>
          <w:szCs w:val="28"/>
        </w:rPr>
        <w:t>Петренко Ирину Викторовну</w:t>
      </w:r>
      <w:r w:rsidRPr="00994A6A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«Дворец культуры «</w:t>
      </w:r>
      <w:proofErr w:type="spellStart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Гольмовский</w:t>
      </w:r>
      <w:proofErr w:type="spellEnd"/>
      <w:r w:rsidR="00E86ACB" w:rsidRPr="00E86AC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6EE4CA72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77A76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1D61F53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9B5A5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98A534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9D0EB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4FC0801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EDF74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F2A9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A2180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D80CCB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7139575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FD8E24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FBA7" w14:textId="77777777" w:rsidR="00704BDC" w:rsidRDefault="00704BDC" w:rsidP="00144D0A">
      <w:pPr>
        <w:spacing w:after="0" w:line="240" w:lineRule="auto"/>
      </w:pPr>
      <w:r>
        <w:separator/>
      </w:r>
    </w:p>
  </w:endnote>
  <w:endnote w:type="continuationSeparator" w:id="0">
    <w:p w14:paraId="71DCDACC" w14:textId="77777777" w:rsidR="00704BDC" w:rsidRDefault="00704BDC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35F6" w14:textId="77777777" w:rsidR="00704BDC" w:rsidRDefault="00704BDC" w:rsidP="00144D0A">
      <w:pPr>
        <w:spacing w:after="0" w:line="240" w:lineRule="auto"/>
      </w:pPr>
      <w:r>
        <w:separator/>
      </w:r>
    </w:p>
  </w:footnote>
  <w:footnote w:type="continuationSeparator" w:id="0">
    <w:p w14:paraId="6A91F91D" w14:textId="77777777" w:rsidR="00704BDC" w:rsidRDefault="00704BDC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FD682CF" w14:textId="2CFFD80B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D476AA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36538E2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95FD5"/>
    <w:rsid w:val="001A1A90"/>
    <w:rsid w:val="001C4D33"/>
    <w:rsid w:val="001C746A"/>
    <w:rsid w:val="00224CCC"/>
    <w:rsid w:val="00263B14"/>
    <w:rsid w:val="0028011B"/>
    <w:rsid w:val="002F5F9C"/>
    <w:rsid w:val="00352280"/>
    <w:rsid w:val="003742E6"/>
    <w:rsid w:val="00395681"/>
    <w:rsid w:val="003F0637"/>
    <w:rsid w:val="004039AE"/>
    <w:rsid w:val="004355B9"/>
    <w:rsid w:val="00467576"/>
    <w:rsid w:val="00492485"/>
    <w:rsid w:val="004B54D7"/>
    <w:rsid w:val="00565A58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704BDC"/>
    <w:rsid w:val="00720F8E"/>
    <w:rsid w:val="00723B5C"/>
    <w:rsid w:val="00755CE3"/>
    <w:rsid w:val="007624B0"/>
    <w:rsid w:val="007A38E8"/>
    <w:rsid w:val="007D432B"/>
    <w:rsid w:val="00802A42"/>
    <w:rsid w:val="008127EA"/>
    <w:rsid w:val="00823731"/>
    <w:rsid w:val="00855406"/>
    <w:rsid w:val="008F78EB"/>
    <w:rsid w:val="00932B25"/>
    <w:rsid w:val="00994A6A"/>
    <w:rsid w:val="009C31EF"/>
    <w:rsid w:val="009C349A"/>
    <w:rsid w:val="00B314A8"/>
    <w:rsid w:val="00B63983"/>
    <w:rsid w:val="00B7660A"/>
    <w:rsid w:val="00B92A1B"/>
    <w:rsid w:val="00BA44C1"/>
    <w:rsid w:val="00C21135"/>
    <w:rsid w:val="00C25CF0"/>
    <w:rsid w:val="00C534DD"/>
    <w:rsid w:val="00C70346"/>
    <w:rsid w:val="00CA1455"/>
    <w:rsid w:val="00CD1DE9"/>
    <w:rsid w:val="00CD6631"/>
    <w:rsid w:val="00D476AA"/>
    <w:rsid w:val="00D500C7"/>
    <w:rsid w:val="00DF4D17"/>
    <w:rsid w:val="00E8103C"/>
    <w:rsid w:val="00E86ACB"/>
    <w:rsid w:val="00EF6B49"/>
    <w:rsid w:val="00F205DA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1C3"/>
  <w15:docId w15:val="{FC881BE8-DCD3-4855-91EF-CAED7CF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3</cp:revision>
  <cp:lastPrinted>2024-10-07T13:05:00Z</cp:lastPrinted>
  <dcterms:created xsi:type="dcterms:W3CDTF">2024-10-11T06:55:00Z</dcterms:created>
  <dcterms:modified xsi:type="dcterms:W3CDTF">2024-10-14T05:11:00Z</dcterms:modified>
</cp:coreProperties>
</file>