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D" w:rsidRDefault="00AA4A2D" w:rsidP="00AA4A2D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AA4A2D" w:rsidRDefault="00AA4A2D" w:rsidP="00AA4A2D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AA4A2D" w:rsidRDefault="00AA4A2D" w:rsidP="00AA4A2D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AA4A2D" w:rsidRDefault="00AA4A2D" w:rsidP="00AA4A2D">
      <w:pPr>
        <w:pStyle w:val="a3"/>
        <w:spacing w:before="145"/>
        <w:rPr>
          <w:b/>
        </w:rPr>
      </w:pPr>
    </w:p>
    <w:p w:rsidR="00AA4A2D" w:rsidRDefault="00AA4A2D" w:rsidP="00AA4A2D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июня 2024 года характеризуется следующими показателями:</w:t>
      </w:r>
    </w:p>
    <w:p w:rsidR="00AA4A2D" w:rsidRDefault="00AA4A2D" w:rsidP="00AA4A2D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1 586 266,94241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A4A2D" w:rsidRDefault="00AA4A2D" w:rsidP="00AA4A2D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 </w:t>
      </w:r>
      <w:r w:rsidR="00555517" w:rsidRPr="00555517">
        <w:rPr>
          <w:bCs/>
          <w:color w:val="000000"/>
          <w:sz w:val="28"/>
        </w:rPr>
        <w:t>1 333 551,13478</w:t>
      </w:r>
      <w:r w:rsidR="00555517">
        <w:rPr>
          <w:b/>
          <w:bCs/>
          <w:color w:val="000000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AA4A2D" w:rsidRDefault="00AA4A2D" w:rsidP="00AA4A2D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AA4A2D" w:rsidRDefault="00AA4A2D" w:rsidP="00AA4A2D">
      <w:pPr>
        <w:pStyle w:val="a3"/>
        <w:spacing w:before="1"/>
      </w:pPr>
      <w:bookmarkStart w:id="0" w:name="_GoBack"/>
      <w:bookmarkEnd w:id="0"/>
    </w:p>
    <w:p w:rsidR="00AA4A2D" w:rsidRDefault="00AA4A2D" w:rsidP="00AA4A2D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AA4A2D" w:rsidRDefault="00AA4A2D" w:rsidP="00AA4A2D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июня  2024 года при утвержденных плановых назначениях     2</w:t>
      </w:r>
      <w:r>
        <w:rPr>
          <w:spacing w:val="-4"/>
        </w:rPr>
        <w:t> 857 098</w:t>
      </w:r>
      <w:r>
        <w:t>,82007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1 586 266,94241 тыс. рублей, годовые плановые назначения исполнены на </w:t>
      </w:r>
      <w:r>
        <w:rPr>
          <w:b/>
        </w:rPr>
        <w:t>55,5 %.</w:t>
      </w:r>
    </w:p>
    <w:p w:rsidR="00AA4A2D" w:rsidRDefault="00AA4A2D" w:rsidP="00AA4A2D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AA4A2D" w:rsidRDefault="00AA4A2D" w:rsidP="00AA4A2D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июня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AA4A2D" w:rsidRDefault="00AA4A2D" w:rsidP="00AA4A2D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966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AA4A2D" w:rsidRDefault="00AA4A2D" w:rsidP="00692169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AA4A2D" w:rsidRDefault="00AA4A2D" w:rsidP="00692169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AA4A2D" w:rsidRDefault="00AA4A2D" w:rsidP="00692169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01.06.2024,</w:t>
            </w:r>
          </w:p>
          <w:p w:rsidR="00AA4A2D" w:rsidRDefault="00AA4A2D" w:rsidP="00692169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AA4A2D" w:rsidRDefault="00AA4A2D" w:rsidP="00692169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AA4A2D" w:rsidRDefault="00AA4A2D" w:rsidP="00692169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AA4A2D" w:rsidTr="00692169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AA4A2D" w:rsidRDefault="00AA4A2D" w:rsidP="00692169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A4A2D" w:rsidRPr="007D471C" w:rsidRDefault="00AA4A2D" w:rsidP="00692169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857 098,82007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AA4A2D" w:rsidRPr="007D471C" w:rsidRDefault="00AA4A2D" w:rsidP="00692169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1 586 266,94241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55,5</w:t>
            </w:r>
          </w:p>
        </w:tc>
      </w:tr>
      <w:tr w:rsidR="00AA4A2D" w:rsidTr="00692169">
        <w:trPr>
          <w:trHeight w:val="4075"/>
        </w:trPr>
        <w:tc>
          <w:tcPr>
            <w:tcW w:w="5072" w:type="dxa"/>
            <w:tcBorders>
              <w:bottom w:val="nil"/>
            </w:tcBorders>
          </w:tcPr>
          <w:p w:rsidR="00AA4A2D" w:rsidRDefault="00AA4A2D" w:rsidP="00692169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AA4A2D" w:rsidRDefault="00AA4A2D" w:rsidP="00692169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143 212,78021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46,9</w:t>
            </w:r>
          </w:p>
        </w:tc>
      </w:tr>
    </w:tbl>
    <w:p w:rsidR="00AA4A2D" w:rsidRDefault="00AA4A2D" w:rsidP="00AA4A2D">
      <w:pPr>
        <w:jc w:val="center"/>
        <w:rPr>
          <w:sz w:val="28"/>
        </w:rPr>
        <w:sectPr w:rsidR="00AA4A2D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5184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AA4A2D" w:rsidRDefault="00AA4A2D" w:rsidP="0069216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rPr>
                <w:sz w:val="28"/>
              </w:rPr>
            </w:pPr>
            <w:r>
              <w:rPr>
                <w:sz w:val="28"/>
              </w:rPr>
              <w:t xml:space="preserve">     1 214,25691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95,8</w:t>
            </w:r>
          </w:p>
        </w:tc>
      </w:tr>
      <w:tr w:rsidR="00AA4A2D" w:rsidTr="00692169">
        <w:trPr>
          <w:trHeight w:val="3392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9,15810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3392"/>
        </w:trPr>
        <w:tc>
          <w:tcPr>
            <w:tcW w:w="5072" w:type="dxa"/>
          </w:tcPr>
          <w:p w:rsidR="00AA4A2D" w:rsidRPr="00C26495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0,84937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3392"/>
        </w:trPr>
        <w:tc>
          <w:tcPr>
            <w:tcW w:w="5072" w:type="dxa"/>
          </w:tcPr>
          <w:p w:rsidR="00AA4A2D" w:rsidRPr="00D47380" w:rsidRDefault="00AA4A2D" w:rsidP="00692169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162,48141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</w:tc>
      </w:tr>
      <w:tr w:rsidR="00AA4A2D" w:rsidTr="00692169">
        <w:trPr>
          <w:trHeight w:val="333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838,97820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256,7</w:t>
            </w:r>
          </w:p>
        </w:tc>
      </w:tr>
      <w:tr w:rsidR="00AA4A2D" w:rsidTr="00692169">
        <w:trPr>
          <w:trHeight w:val="2964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AA4A2D" w:rsidRDefault="00AA4A2D" w:rsidP="00692169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1 185,03847</w:t>
            </w:r>
          </w:p>
        </w:tc>
        <w:tc>
          <w:tcPr>
            <w:tcW w:w="1241" w:type="dxa"/>
            <w:vAlign w:val="center"/>
          </w:tcPr>
          <w:p w:rsidR="00AA4A2D" w:rsidRPr="002D7605" w:rsidRDefault="00AA4A2D" w:rsidP="00692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607,8</w:t>
            </w:r>
          </w:p>
        </w:tc>
      </w:tr>
      <w:tr w:rsidR="00AA4A2D" w:rsidTr="00692169">
        <w:trPr>
          <w:trHeight w:val="1849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AA4A2D" w:rsidRDefault="00AA4A2D" w:rsidP="0069216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AA4A2D" w:rsidRDefault="00AA4A2D" w:rsidP="00692169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AA4A2D" w:rsidRDefault="00AA4A2D" w:rsidP="00692169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AA4A2D" w:rsidRDefault="00AA4A2D" w:rsidP="00692169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2 660,71375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42,3</w:t>
            </w:r>
          </w:p>
        </w:tc>
      </w:tr>
    </w:tbl>
    <w:p w:rsidR="00AA4A2D" w:rsidRDefault="00AA4A2D" w:rsidP="00AA4A2D">
      <w:pPr>
        <w:jc w:val="center"/>
        <w:rPr>
          <w:sz w:val="28"/>
        </w:rPr>
        <w:sectPr w:rsidR="00AA4A2D" w:rsidSect="00CE5F3E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5184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AA4A2D" w:rsidRDefault="00AA4A2D" w:rsidP="00692169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AA4A2D" w:rsidRDefault="00AA4A2D" w:rsidP="0069216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14,80431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49,3</w:t>
            </w:r>
          </w:p>
        </w:tc>
      </w:tr>
      <w:tr w:rsidR="00AA4A2D" w:rsidTr="00692169">
        <w:trPr>
          <w:trHeight w:val="4443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AA4A2D" w:rsidRDefault="00AA4A2D" w:rsidP="00692169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2 888,34920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44,2</w:t>
            </w:r>
          </w:p>
        </w:tc>
      </w:tr>
      <w:tr w:rsidR="00AA4A2D" w:rsidTr="00692169">
        <w:trPr>
          <w:trHeight w:val="12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AA4A2D" w:rsidRDefault="00AA4A2D" w:rsidP="00692169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-299,74587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38,3</w:t>
            </w:r>
          </w:p>
        </w:tc>
      </w:tr>
      <w:tr w:rsidR="00AA4A2D" w:rsidTr="00692169">
        <w:trPr>
          <w:trHeight w:val="551"/>
        </w:trPr>
        <w:tc>
          <w:tcPr>
            <w:tcW w:w="5072" w:type="dxa"/>
            <w:tcBorders>
              <w:bottom w:val="nil"/>
            </w:tcBorders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29,37900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A4A2D" w:rsidRDefault="00AA4A2D" w:rsidP="00AA4A2D">
      <w:pPr>
        <w:jc w:val="center"/>
        <w:rPr>
          <w:sz w:val="28"/>
        </w:rPr>
        <w:sectPr w:rsidR="00AA4A2D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2964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AA4A2D" w:rsidRDefault="00AA4A2D" w:rsidP="00692169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AA4A2D" w:rsidRDefault="00AA4A2D" w:rsidP="0069216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594,66403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61,7</w:t>
            </w:r>
          </w:p>
        </w:tc>
      </w:tr>
      <w:tr w:rsidR="00AA4A2D" w:rsidTr="00CE5F3E">
        <w:trPr>
          <w:trHeight w:val="1695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AA4A2D" w:rsidTr="00CE5F3E">
        <w:trPr>
          <w:trHeight w:val="2386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AA4A2D" w:rsidRDefault="00AA4A2D" w:rsidP="00692169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AA4A2D" w:rsidRDefault="00AA4A2D" w:rsidP="00CE5F3E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1 449,64799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138,4</w:t>
            </w:r>
          </w:p>
        </w:tc>
      </w:tr>
      <w:tr w:rsidR="00AA4A2D" w:rsidTr="00CE5F3E">
        <w:trPr>
          <w:trHeight w:val="3208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AA4A2D" w:rsidRDefault="00AA4A2D" w:rsidP="00692169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AA4A2D" w:rsidRDefault="00AA4A2D" w:rsidP="00CE5F3E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128,77031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1099,7</w:t>
            </w:r>
          </w:p>
        </w:tc>
      </w:tr>
      <w:tr w:rsidR="00AA4A2D" w:rsidTr="00692169">
        <w:trPr>
          <w:trHeight w:val="1696"/>
        </w:trPr>
        <w:tc>
          <w:tcPr>
            <w:tcW w:w="5072" w:type="dxa"/>
          </w:tcPr>
          <w:p w:rsidR="00AA4A2D" w:rsidRDefault="00AA4A2D" w:rsidP="00CE5F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1400,07134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AA4A2D" w:rsidTr="00692169">
        <w:trPr>
          <w:trHeight w:val="37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37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3 507,00007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</w:tbl>
    <w:p w:rsidR="00AA4A2D" w:rsidRDefault="00AA4A2D" w:rsidP="00AA4A2D">
      <w:pPr>
        <w:jc w:val="center"/>
        <w:rPr>
          <w:sz w:val="28"/>
        </w:rPr>
        <w:sectPr w:rsidR="00AA4A2D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2366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2 845,97037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39,8</w:t>
            </w:r>
          </w:p>
        </w:tc>
      </w:tr>
      <w:tr w:rsidR="00AA4A2D" w:rsidTr="00692169">
        <w:trPr>
          <w:trHeight w:val="1480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150,00042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42,2</w:t>
            </w:r>
          </w:p>
        </w:tc>
      </w:tr>
      <w:tr w:rsidR="00AA4A2D" w:rsidTr="00692169">
        <w:trPr>
          <w:trHeight w:val="3333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AA4A2D" w:rsidTr="00692169">
        <w:trPr>
          <w:trHeight w:val="623"/>
        </w:trPr>
        <w:tc>
          <w:tcPr>
            <w:tcW w:w="5072" w:type="dxa"/>
          </w:tcPr>
          <w:p w:rsidR="00AA4A2D" w:rsidRPr="007872CE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AA4A2D" w:rsidTr="00692169">
        <w:trPr>
          <w:trHeight w:val="249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407"/>
        </w:trPr>
        <w:tc>
          <w:tcPr>
            <w:tcW w:w="5072" w:type="dxa"/>
          </w:tcPr>
          <w:p w:rsidR="00AA4A2D" w:rsidRPr="007872CE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743,00114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148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AA4A2D" w:rsidRDefault="00AA4A2D" w:rsidP="0069216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AA4A2D" w:rsidRDefault="00AA4A2D" w:rsidP="00692169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1 386 445,24120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62,3</w:t>
            </w:r>
          </w:p>
        </w:tc>
      </w:tr>
      <w:tr w:rsidR="00AA4A2D" w:rsidTr="00692169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AA4A2D" w:rsidRDefault="00AA4A2D" w:rsidP="00692169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AA4A2D" w:rsidRDefault="00AA4A2D" w:rsidP="0069216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42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AA4A2D" w:rsidRDefault="00AA4A2D" w:rsidP="00692169">
            <w:pPr>
              <w:pStyle w:val="TableParagraph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AA4A2D" w:rsidRDefault="00AA4A2D" w:rsidP="00692169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AA4A2D" w:rsidRDefault="00AA4A2D" w:rsidP="0069216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18 319,26690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78,5</w:t>
            </w:r>
          </w:p>
        </w:tc>
      </w:tr>
    </w:tbl>
    <w:p w:rsidR="00AA4A2D" w:rsidRDefault="00AA4A2D" w:rsidP="00AA4A2D">
      <w:pPr>
        <w:jc w:val="center"/>
        <w:rPr>
          <w:sz w:val="28"/>
        </w:rPr>
        <w:sectPr w:rsidR="00AA4A2D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AA4A2D" w:rsidTr="00692169">
        <w:trPr>
          <w:trHeight w:val="74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AA4A2D" w:rsidRDefault="00AA4A2D" w:rsidP="0069216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741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741"/>
        </w:trPr>
        <w:tc>
          <w:tcPr>
            <w:tcW w:w="5072" w:type="dxa"/>
          </w:tcPr>
          <w:p w:rsidR="00AA4A2D" w:rsidRPr="00004B7B" w:rsidRDefault="00AA4A2D" w:rsidP="00692169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A4A2D" w:rsidTr="00692169">
        <w:trPr>
          <w:trHeight w:val="5184"/>
        </w:trPr>
        <w:tc>
          <w:tcPr>
            <w:tcW w:w="5072" w:type="dxa"/>
          </w:tcPr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AA4A2D" w:rsidRDefault="00AA4A2D" w:rsidP="00692169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AA4A2D" w:rsidRDefault="00AA4A2D" w:rsidP="00692169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24 334,38000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15 395,07069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63,3</w:t>
            </w:r>
          </w:p>
        </w:tc>
      </w:tr>
      <w:tr w:rsidR="00AA4A2D" w:rsidTr="00692169">
        <w:trPr>
          <w:trHeight w:val="1125"/>
        </w:trPr>
        <w:tc>
          <w:tcPr>
            <w:tcW w:w="5072" w:type="dxa"/>
          </w:tcPr>
          <w:p w:rsidR="00AA4A2D" w:rsidRPr="00731BB2" w:rsidRDefault="00AA4A2D" w:rsidP="00692169">
            <w:pPr>
              <w:pStyle w:val="TableParagraph"/>
              <w:ind w:left="160" w:hanging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  <w:p w:rsidR="00AA4A2D" w:rsidRDefault="00AA4A2D" w:rsidP="00692169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AA4A2D" w:rsidRDefault="00AA4A2D" w:rsidP="0069216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A4A2D" w:rsidRDefault="00AA4A2D" w:rsidP="0069216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2 576,50000</w:t>
            </w:r>
          </w:p>
        </w:tc>
        <w:tc>
          <w:tcPr>
            <w:tcW w:w="1241" w:type="dxa"/>
            <w:vAlign w:val="center"/>
          </w:tcPr>
          <w:p w:rsidR="00AA4A2D" w:rsidRDefault="00AA4A2D" w:rsidP="00692169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A4A2D" w:rsidRDefault="00AA4A2D" w:rsidP="00AA4A2D">
      <w:pPr>
        <w:pStyle w:val="a3"/>
        <w:rPr>
          <w:i/>
        </w:rPr>
      </w:pPr>
    </w:p>
    <w:p w:rsidR="00AA4A2D" w:rsidRDefault="00AA4A2D" w:rsidP="00596817">
      <w:pPr>
        <w:pStyle w:val="a3"/>
        <w:rPr>
          <w:i/>
        </w:rPr>
      </w:pPr>
    </w:p>
    <w:p w:rsidR="00596817" w:rsidRDefault="00596817" w:rsidP="00596817">
      <w:pPr>
        <w:pStyle w:val="a3"/>
        <w:rPr>
          <w:i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AA4A2D">
        <w:rPr>
          <w:b/>
          <w:sz w:val="28"/>
        </w:rPr>
        <w:t>июня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AA4A2D">
              <w:rPr>
                <w:sz w:val="28"/>
              </w:rPr>
              <w:t>6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CE5F3E" w:rsidRPr="00A16984" w:rsidTr="00677B59">
        <w:trPr>
          <w:trHeight w:val="614"/>
        </w:trPr>
        <w:tc>
          <w:tcPr>
            <w:tcW w:w="4549" w:type="dxa"/>
          </w:tcPr>
          <w:p w:rsidR="00CE5F3E" w:rsidRPr="00A16984" w:rsidRDefault="00CE5F3E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CE5F3E" w:rsidRPr="00A16984" w:rsidRDefault="00CE5F3E" w:rsidP="00494039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 857 098,82007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1 333 551,13478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46,7</w:t>
            </w:r>
          </w:p>
        </w:tc>
      </w:tr>
      <w:tr w:rsidR="00CE5F3E" w:rsidTr="00677B59">
        <w:trPr>
          <w:trHeight w:val="614"/>
        </w:trPr>
        <w:tc>
          <w:tcPr>
            <w:tcW w:w="4549" w:type="dxa"/>
          </w:tcPr>
          <w:p w:rsidR="00CE5F3E" w:rsidRDefault="00CE5F3E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E91666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399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711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83300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115 755,76349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29,0</w:t>
            </w:r>
          </w:p>
        </w:tc>
      </w:tr>
      <w:tr w:rsidR="00CE5F3E" w:rsidTr="009D3D5F">
        <w:trPr>
          <w:trHeight w:val="615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CE5F3E" w:rsidRDefault="00CE5F3E" w:rsidP="009D3D5F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</w:tr>
      <w:tr w:rsidR="00CE5F3E" w:rsidTr="00A86A84">
        <w:trPr>
          <w:trHeight w:val="642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</w:tcPr>
          <w:p w:rsidR="00CE5F3E" w:rsidRDefault="00CE5F3E" w:rsidP="008A2920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</w:tr>
      <w:tr w:rsidR="00CE5F3E" w:rsidTr="00677B59">
        <w:trPr>
          <w:trHeight w:val="615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306 679,23300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73 757,57389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24,1</w:t>
            </w:r>
          </w:p>
        </w:tc>
      </w:tr>
      <w:tr w:rsidR="00CE5F3E" w:rsidTr="00677B59">
        <w:trPr>
          <w:trHeight w:val="614"/>
        </w:trPr>
        <w:tc>
          <w:tcPr>
            <w:tcW w:w="4549" w:type="dxa"/>
          </w:tcPr>
          <w:p w:rsidR="00CE5F3E" w:rsidRDefault="00CE5F3E" w:rsidP="00712718">
            <w:pPr>
              <w:pStyle w:val="TableParagraph"/>
              <w:spacing w:before="146"/>
              <w:ind w:left="10" w:right="4"/>
              <w:rPr>
                <w:sz w:val="28"/>
              </w:rPr>
            </w:pPr>
            <w:proofErr w:type="spellStart"/>
            <w:r>
              <w:rPr>
                <w:sz w:val="28"/>
              </w:rPr>
              <w:t>Жи</w:t>
            </w:r>
            <w:proofErr w:type="spellEnd"/>
            <w:r w:rsidR="00B92BA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лищно</w:t>
            </w:r>
            <w:proofErr w:type="spellEnd"/>
            <w:r>
              <w:rPr>
                <w:sz w:val="28"/>
              </w:rPr>
              <w:t>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280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274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04714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48 945,11040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17,5</w:t>
            </w:r>
          </w:p>
        </w:tc>
      </w:tr>
      <w:tr w:rsidR="00CE5F3E" w:rsidTr="00A86A84">
        <w:trPr>
          <w:trHeight w:val="614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</w:tcPr>
          <w:p w:rsidR="00CE5F3E" w:rsidRDefault="00CE5F3E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</w:tr>
      <w:tr w:rsidR="00CE5F3E" w:rsidTr="00677B59">
        <w:trPr>
          <w:trHeight w:val="616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1 533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123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08200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964 721,59392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62,9</w:t>
            </w:r>
          </w:p>
        </w:tc>
      </w:tr>
      <w:tr w:rsidR="00CE5F3E" w:rsidTr="00677B59">
        <w:trPr>
          <w:trHeight w:val="614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250 709,56452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92 682,75418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37,0</w:t>
            </w:r>
          </w:p>
        </w:tc>
      </w:tr>
      <w:tr w:rsidR="00CE5F3E" w:rsidTr="00A86A84">
        <w:trPr>
          <w:trHeight w:val="616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</w:tcPr>
          <w:p w:rsidR="00CE5F3E" w:rsidRDefault="00CE5F3E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</w:rPr>
              <w:t>-</w:t>
            </w:r>
          </w:p>
        </w:tc>
      </w:tr>
      <w:tr w:rsidR="00CE5F3E" w:rsidTr="00677B59">
        <w:trPr>
          <w:trHeight w:val="613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13 548,30441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6 444,73463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47,6</w:t>
            </w:r>
          </w:p>
        </w:tc>
      </w:tr>
      <w:tr w:rsidR="00CE5F3E" w:rsidTr="00677B59">
        <w:trPr>
          <w:trHeight w:val="616"/>
        </w:trPr>
        <w:tc>
          <w:tcPr>
            <w:tcW w:w="4549" w:type="dxa"/>
          </w:tcPr>
          <w:p w:rsidR="00CE5F3E" w:rsidRDefault="00CE5F3E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CE5F3E" w:rsidRPr="007607A2" w:rsidRDefault="00CE5F3E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73 052,75600</w:t>
            </w:r>
          </w:p>
        </w:tc>
        <w:tc>
          <w:tcPr>
            <w:tcW w:w="2034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31 243,60427</w:t>
            </w:r>
          </w:p>
        </w:tc>
        <w:tc>
          <w:tcPr>
            <w:tcW w:w="1559" w:type="dxa"/>
            <w:vAlign w:val="center"/>
          </w:tcPr>
          <w:p w:rsidR="00CE5F3E" w:rsidRDefault="00CE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42,8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2671BB"/>
    <w:rsid w:val="00424D98"/>
    <w:rsid w:val="00494039"/>
    <w:rsid w:val="00555517"/>
    <w:rsid w:val="00561D2E"/>
    <w:rsid w:val="00596817"/>
    <w:rsid w:val="00677B59"/>
    <w:rsid w:val="006F6C4D"/>
    <w:rsid w:val="00712718"/>
    <w:rsid w:val="007607A2"/>
    <w:rsid w:val="00786EE7"/>
    <w:rsid w:val="008543DA"/>
    <w:rsid w:val="00921C25"/>
    <w:rsid w:val="009C607C"/>
    <w:rsid w:val="009D3D5F"/>
    <w:rsid w:val="00A16984"/>
    <w:rsid w:val="00AA4A2D"/>
    <w:rsid w:val="00B11185"/>
    <w:rsid w:val="00B92BAE"/>
    <w:rsid w:val="00BA7754"/>
    <w:rsid w:val="00BC3F3B"/>
    <w:rsid w:val="00BF44A7"/>
    <w:rsid w:val="00CE5F3E"/>
    <w:rsid w:val="00D97805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5EBE-D25C-4320-B45E-38F064C0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1</cp:lastModifiedBy>
  <cp:revision>20</cp:revision>
  <cp:lastPrinted>2024-06-07T06:40:00Z</cp:lastPrinted>
  <dcterms:created xsi:type="dcterms:W3CDTF">2024-04-04T05:49:00Z</dcterms:created>
  <dcterms:modified xsi:type="dcterms:W3CDTF">2024-06-07T06:43:00Z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