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C" w:rsidRDefault="00CC215C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1E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CC215C" w:rsidRPr="00D765E0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Pr="006305E9" w:rsidRDefault="00736845" w:rsidP="00326685">
      <w:pPr>
        <w:tabs>
          <w:tab w:val="left" w:pos="3402"/>
          <w:tab w:val="left" w:pos="7088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12  февраля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6D61C2">
        <w:rPr>
          <w:rFonts w:ascii="Times New Roman" w:hAnsi="Times New Roman"/>
          <w:bCs/>
          <w:sz w:val="28"/>
          <w:szCs w:val="28"/>
        </w:rPr>
        <w:t>202</w:t>
      </w:r>
      <w:r w:rsidR="00EC4527">
        <w:rPr>
          <w:rFonts w:ascii="Times New Roman" w:hAnsi="Times New Roman"/>
          <w:bCs/>
          <w:sz w:val="28"/>
          <w:szCs w:val="28"/>
        </w:rPr>
        <w:t>5</w:t>
      </w:r>
      <w:r w:rsidR="006D61C2">
        <w:rPr>
          <w:rFonts w:ascii="Times New Roman" w:hAnsi="Times New Roman"/>
          <w:bCs/>
          <w:sz w:val="28"/>
          <w:szCs w:val="28"/>
        </w:rPr>
        <w:t xml:space="preserve"> г.                             </w:t>
      </w:r>
      <w:r w:rsidR="008A50D2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326685">
        <w:rPr>
          <w:rFonts w:ascii="Times New Roman" w:hAnsi="Times New Roman"/>
          <w:bCs/>
          <w:sz w:val="28"/>
          <w:szCs w:val="28"/>
        </w:rPr>
        <w:tab/>
      </w:r>
      <w:r w:rsidR="00326685">
        <w:rPr>
          <w:rFonts w:ascii="Times New Roman" w:hAnsi="Times New Roman"/>
          <w:bCs/>
          <w:sz w:val="28"/>
          <w:szCs w:val="28"/>
        </w:rPr>
        <w:tab/>
      </w:r>
      <w:r w:rsidR="00A103F8">
        <w:rPr>
          <w:rFonts w:ascii="Times New Roman" w:hAnsi="Times New Roman"/>
          <w:bCs/>
          <w:sz w:val="28"/>
          <w:szCs w:val="28"/>
        </w:rPr>
        <w:t>№</w:t>
      </w:r>
      <w:r w:rsidR="00326685">
        <w:rPr>
          <w:rFonts w:ascii="Times New Roman" w:hAnsi="Times New Roman"/>
          <w:bCs/>
          <w:sz w:val="28"/>
          <w:szCs w:val="28"/>
        </w:rPr>
        <w:t xml:space="preserve"> 124</w:t>
      </w:r>
    </w:p>
    <w:p w:rsidR="004D55A7" w:rsidRDefault="004D55A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927" w:rsidRDefault="008A192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CC2" w:rsidRPr="00C52BFB" w:rsidRDefault="003579A5" w:rsidP="00C05D73">
      <w:pPr>
        <w:pStyle w:val="af3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EC4527">
        <w:rPr>
          <w:rFonts w:ascii="Times New Roman" w:hAnsi="Times New Roman"/>
          <w:sz w:val="28"/>
          <w:szCs w:val="28"/>
        </w:rPr>
        <w:t>Прогноза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A5E0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="001A5E07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="001A5E07">
        <w:rPr>
          <w:rFonts w:ascii="Times New Roman" w:hAnsi="Times New Roman"/>
          <w:sz w:val="28"/>
          <w:szCs w:val="28"/>
        </w:rPr>
        <w:t xml:space="preserve"> городско</w:t>
      </w:r>
      <w:r w:rsidR="00112883">
        <w:rPr>
          <w:rFonts w:ascii="Times New Roman" w:hAnsi="Times New Roman"/>
          <w:sz w:val="28"/>
          <w:szCs w:val="28"/>
        </w:rPr>
        <w:t>го</w:t>
      </w:r>
      <w:r w:rsidR="001A5E07">
        <w:rPr>
          <w:rFonts w:ascii="Times New Roman" w:hAnsi="Times New Roman"/>
          <w:sz w:val="28"/>
          <w:szCs w:val="28"/>
        </w:rPr>
        <w:t xml:space="preserve"> округ</w:t>
      </w:r>
      <w:r w:rsidR="00112883">
        <w:rPr>
          <w:rFonts w:ascii="Times New Roman" w:hAnsi="Times New Roman"/>
          <w:sz w:val="28"/>
          <w:szCs w:val="28"/>
        </w:rPr>
        <w:t>а</w:t>
      </w:r>
      <w:r w:rsidR="001A5E07">
        <w:rPr>
          <w:rFonts w:ascii="Times New Roman" w:hAnsi="Times New Roman"/>
          <w:sz w:val="28"/>
          <w:szCs w:val="28"/>
        </w:rPr>
        <w:t xml:space="preserve"> Горловка </w:t>
      </w:r>
      <w:r w:rsidR="00EC4527">
        <w:rPr>
          <w:rFonts w:ascii="Times New Roman" w:hAnsi="Times New Roman"/>
          <w:sz w:val="28"/>
          <w:szCs w:val="28"/>
        </w:rPr>
        <w:br/>
      </w:r>
      <w:r w:rsidR="001A5E07">
        <w:rPr>
          <w:rFonts w:ascii="Times New Roman" w:hAnsi="Times New Roman"/>
          <w:sz w:val="28"/>
          <w:szCs w:val="28"/>
        </w:rPr>
        <w:t>Донецкой Народной Республики</w:t>
      </w:r>
      <w:r w:rsidR="00A665FA">
        <w:rPr>
          <w:rFonts w:ascii="Times New Roman" w:hAnsi="Times New Roman"/>
          <w:sz w:val="28"/>
          <w:szCs w:val="28"/>
        </w:rPr>
        <w:t xml:space="preserve"> </w:t>
      </w:r>
      <w:r w:rsidR="00EC4527">
        <w:rPr>
          <w:rFonts w:ascii="Times New Roman" w:hAnsi="Times New Roman"/>
          <w:sz w:val="28"/>
          <w:szCs w:val="28"/>
        </w:rPr>
        <w:t>на 2025 год</w:t>
      </w:r>
    </w:p>
    <w:p w:rsidR="00C67572" w:rsidRDefault="00C67572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7CEC" w:rsidRPr="00C52BFB" w:rsidRDefault="005A7CEC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675" w:rsidRDefault="001A5E07" w:rsidP="005A7CEC">
      <w:pPr>
        <w:pStyle w:val="Bodytext20"/>
        <w:shd w:val="clear" w:color="auto" w:fill="auto"/>
        <w:spacing w:before="0" w:after="0" w:line="240" w:lineRule="auto"/>
        <w:ind w:firstLine="760"/>
      </w:pPr>
      <w:r>
        <w:t xml:space="preserve">В соответствии с </w:t>
      </w:r>
      <w:r w:rsidR="00EC4527">
        <w:t xml:space="preserve">Бюджетным кодексом Российской Федерации, </w:t>
      </w:r>
      <w:r w:rsidR="00C05D73" w:rsidRPr="00C52BFB">
        <w:rPr>
          <w:rFonts w:eastAsia="Calibri"/>
          <w:lang w:eastAsia="en-US"/>
        </w:rPr>
        <w:t>Федеральным законом от 06</w:t>
      </w:r>
      <w:r w:rsidR="00ED410E" w:rsidRPr="00C52BFB">
        <w:rPr>
          <w:rFonts w:eastAsia="Calibri"/>
          <w:lang w:eastAsia="en-US"/>
        </w:rPr>
        <w:t xml:space="preserve"> октября </w:t>
      </w:r>
      <w:r w:rsidR="00C05D73" w:rsidRPr="00C52BFB">
        <w:rPr>
          <w:rFonts w:eastAsia="Calibri"/>
          <w:lang w:eastAsia="en-US"/>
        </w:rPr>
        <w:t>2003</w:t>
      </w:r>
      <w:r w:rsidR="00ED410E" w:rsidRPr="00C52BFB">
        <w:rPr>
          <w:rFonts w:eastAsia="Calibri"/>
          <w:lang w:eastAsia="en-US"/>
        </w:rPr>
        <w:t xml:space="preserve"> года</w:t>
      </w:r>
      <w:r w:rsidR="00C05D73" w:rsidRPr="00C52BFB">
        <w:rPr>
          <w:rFonts w:eastAsia="Calibri"/>
          <w:lang w:eastAsia="en-US"/>
        </w:rPr>
        <w:t xml:space="preserve"> № 131-ФЗ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«Об общих принципах организации местного самоуправления в Российской Федерации»,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Федеральн</w:t>
      </w:r>
      <w:r w:rsidR="008A50D2">
        <w:rPr>
          <w:rFonts w:eastAsia="Calibri"/>
          <w:lang w:eastAsia="en-US"/>
        </w:rPr>
        <w:t>ым</w:t>
      </w:r>
      <w:r w:rsidR="00C05D73" w:rsidRPr="00C52BFB">
        <w:rPr>
          <w:rFonts w:eastAsia="Calibri"/>
          <w:lang w:eastAsia="en-US"/>
        </w:rPr>
        <w:t xml:space="preserve"> закон</w:t>
      </w:r>
      <w:r w:rsidR="008A50D2">
        <w:rPr>
          <w:rFonts w:eastAsia="Calibri"/>
          <w:lang w:eastAsia="en-US"/>
        </w:rPr>
        <w:t>ом</w:t>
      </w:r>
      <w:r w:rsidR="00C05D73" w:rsidRPr="00C52BFB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28</w:t>
      </w:r>
      <w:r w:rsidR="00ED410E" w:rsidRPr="00C52B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июня</w:t>
      </w:r>
      <w:r w:rsidR="00ED410E" w:rsidRPr="00C52BFB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201</w:t>
      </w:r>
      <w:r>
        <w:rPr>
          <w:rFonts w:eastAsia="Calibri"/>
          <w:lang w:eastAsia="en-US"/>
        </w:rPr>
        <w:t>4</w:t>
      </w:r>
      <w:r w:rsidR="00C05D73" w:rsidRPr="00C52BFB">
        <w:rPr>
          <w:rFonts w:eastAsia="Calibri"/>
          <w:lang w:eastAsia="en-US"/>
        </w:rPr>
        <w:t xml:space="preserve"> </w:t>
      </w:r>
      <w:r w:rsidR="00EE055C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172</w:t>
      </w:r>
      <w:r w:rsidR="00C05D73" w:rsidRPr="00C52BFB">
        <w:rPr>
          <w:rFonts w:eastAsia="Calibri"/>
          <w:lang w:eastAsia="en-US"/>
        </w:rPr>
        <w:t>-ФЗ «</w:t>
      </w:r>
      <w:r>
        <w:rPr>
          <w:rFonts w:eastAsia="Calibri"/>
          <w:lang w:eastAsia="en-US"/>
        </w:rPr>
        <w:t>О стратегическом планировании</w:t>
      </w:r>
      <w:r w:rsidR="005A7CEC">
        <w:rPr>
          <w:rFonts w:eastAsia="Calibri"/>
          <w:lang w:eastAsia="en-US"/>
        </w:rPr>
        <w:t xml:space="preserve"> </w:t>
      </w:r>
      <w:r w:rsidR="00FF621A">
        <w:rPr>
          <w:rFonts w:eastAsia="Calibri"/>
          <w:lang w:eastAsia="en-US"/>
        </w:rPr>
        <w:br/>
      </w:r>
      <w:r w:rsidR="005A7CEC">
        <w:rPr>
          <w:rFonts w:eastAsia="Calibri"/>
          <w:lang w:eastAsia="en-US"/>
        </w:rPr>
        <w:t>в Российской Федерации</w:t>
      </w:r>
      <w:r w:rsidR="00C05D73" w:rsidRPr="00C52BFB">
        <w:rPr>
          <w:rFonts w:eastAsia="Calibri"/>
          <w:lang w:eastAsia="en-US"/>
        </w:rPr>
        <w:t>»,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Законом Донецкой Народной Республики </w:t>
      </w:r>
      <w:r w:rsidR="00FF621A">
        <w:rPr>
          <w:rFonts w:eastAsia="Calibri"/>
          <w:lang w:eastAsia="en-US"/>
        </w:rPr>
        <w:br/>
      </w:r>
      <w:r w:rsidR="00C05D73" w:rsidRPr="00C52BFB">
        <w:rPr>
          <w:rFonts w:eastAsia="Calibri"/>
          <w:lang w:eastAsia="en-US"/>
        </w:rPr>
        <w:t>от 14</w:t>
      </w:r>
      <w:r w:rsidR="00ED410E" w:rsidRPr="00C52BFB">
        <w:rPr>
          <w:rFonts w:eastAsia="Calibri"/>
          <w:lang w:eastAsia="en-US"/>
        </w:rPr>
        <w:t xml:space="preserve"> августа </w:t>
      </w:r>
      <w:r w:rsidR="00C05D73" w:rsidRPr="00C52BFB">
        <w:rPr>
          <w:rFonts w:eastAsia="Calibri"/>
          <w:lang w:eastAsia="en-US"/>
        </w:rPr>
        <w:t xml:space="preserve">2023 </w:t>
      </w:r>
      <w:r w:rsidR="00655AEE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>№ 468-IIНС «О местном самоуправлени</w:t>
      </w:r>
      <w:r w:rsidR="003579A5">
        <w:rPr>
          <w:rFonts w:eastAsia="Calibri"/>
          <w:lang w:eastAsia="en-US"/>
        </w:rPr>
        <w:t>и</w:t>
      </w:r>
      <w:r w:rsidR="00097DA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в Донецкой Народной Республике», Закон</w:t>
      </w:r>
      <w:r w:rsidR="008A50D2">
        <w:rPr>
          <w:rFonts w:eastAsia="Calibri"/>
          <w:lang w:eastAsia="en-US"/>
        </w:rPr>
        <w:t>ом</w:t>
      </w:r>
      <w:r w:rsidR="00C05D73" w:rsidRPr="00C52BFB">
        <w:rPr>
          <w:rFonts w:eastAsia="Calibri"/>
          <w:lang w:eastAsia="en-US"/>
        </w:rPr>
        <w:t xml:space="preserve"> Донецкой Народной Республик</w:t>
      </w:r>
      <w:r w:rsidR="00BA18B3" w:rsidRPr="00C52BFB">
        <w:rPr>
          <w:rFonts w:eastAsia="Calibri"/>
          <w:lang w:eastAsia="en-US"/>
        </w:rPr>
        <w:t>и</w:t>
      </w:r>
      <w:r w:rsidR="00097DAC">
        <w:rPr>
          <w:rFonts w:eastAsia="Calibri"/>
          <w:lang w:eastAsia="en-US"/>
        </w:rPr>
        <w:t xml:space="preserve"> </w:t>
      </w:r>
      <w:r w:rsidR="005A7CEC">
        <w:rPr>
          <w:rFonts w:eastAsia="Calibri"/>
          <w:lang w:eastAsia="en-US"/>
        </w:rPr>
        <w:t>от 27</w:t>
      </w:r>
      <w:r w:rsidR="00C05D73" w:rsidRPr="00C52BFB">
        <w:rPr>
          <w:rFonts w:eastAsia="Calibri"/>
          <w:lang w:eastAsia="en-US"/>
        </w:rPr>
        <w:t xml:space="preserve"> </w:t>
      </w:r>
      <w:r w:rsidR="005A7CEC">
        <w:rPr>
          <w:rFonts w:eastAsia="Calibri"/>
          <w:lang w:eastAsia="en-US"/>
        </w:rPr>
        <w:t>января</w:t>
      </w:r>
      <w:r w:rsidR="00C05D73" w:rsidRPr="00C52BFB">
        <w:rPr>
          <w:rFonts w:eastAsia="Calibri"/>
          <w:lang w:eastAsia="en-US"/>
        </w:rPr>
        <w:t xml:space="preserve"> 2023 года № </w:t>
      </w:r>
      <w:r w:rsidR="005A7CEC" w:rsidRPr="00C52BFB">
        <w:rPr>
          <w:rFonts w:eastAsia="Calibri"/>
          <w:lang w:eastAsia="en-US"/>
        </w:rPr>
        <w:t>4</w:t>
      </w:r>
      <w:r w:rsidR="005A7CEC">
        <w:rPr>
          <w:rFonts w:eastAsia="Calibri"/>
          <w:lang w:eastAsia="en-US"/>
        </w:rPr>
        <w:t>31</w:t>
      </w:r>
      <w:r w:rsidR="005A7CEC" w:rsidRPr="00C52BFB">
        <w:rPr>
          <w:rFonts w:eastAsia="Calibri"/>
          <w:lang w:eastAsia="en-US"/>
        </w:rPr>
        <w:t xml:space="preserve">-IIНС </w:t>
      </w:r>
      <w:r w:rsidR="00C05D73" w:rsidRPr="00C52BFB">
        <w:rPr>
          <w:rFonts w:eastAsia="Calibri"/>
          <w:lang w:eastAsia="en-US"/>
        </w:rPr>
        <w:t>«</w:t>
      </w:r>
      <w:r w:rsidR="005A7CEC">
        <w:rPr>
          <w:rFonts w:eastAsia="Calibri"/>
          <w:lang w:eastAsia="en-US"/>
        </w:rPr>
        <w:t>О стратегическом планировании</w:t>
      </w:r>
      <w:r w:rsidR="00C05D73" w:rsidRPr="00C52BFB">
        <w:rPr>
          <w:rFonts w:eastAsia="Calibri"/>
          <w:lang w:eastAsia="en-US"/>
        </w:rPr>
        <w:t xml:space="preserve"> в Донецкой Народной Республике», </w:t>
      </w:r>
      <w:r w:rsidR="00EC4527">
        <w:rPr>
          <w:rFonts w:eastAsia="Calibri"/>
          <w:lang w:eastAsia="en-US"/>
        </w:rPr>
        <w:t xml:space="preserve">Положением о бюджетном процессе в муниципальном образовании городском округе Горловка Донецкой Народной Республике, утвержденным решением </w:t>
      </w:r>
      <w:proofErr w:type="spellStart"/>
      <w:r w:rsidR="00EC4527">
        <w:rPr>
          <w:rFonts w:eastAsia="Calibri"/>
          <w:lang w:eastAsia="en-US"/>
        </w:rPr>
        <w:t>Горловского</w:t>
      </w:r>
      <w:proofErr w:type="spellEnd"/>
      <w:r w:rsidR="00EC4527">
        <w:rPr>
          <w:rFonts w:eastAsia="Calibri"/>
          <w:lang w:eastAsia="en-US"/>
        </w:rPr>
        <w:t xml:space="preserve"> городского совета </w:t>
      </w:r>
      <w:r w:rsidR="00FF621A">
        <w:rPr>
          <w:rFonts w:eastAsia="Calibri"/>
          <w:lang w:eastAsia="en-US"/>
        </w:rPr>
        <w:t>от 30 ноября 2023 года</w:t>
      </w:r>
      <w:r w:rsidR="00EC4527">
        <w:rPr>
          <w:rFonts w:eastAsia="Calibri"/>
          <w:lang w:eastAsia="en-US"/>
        </w:rPr>
        <w:t xml:space="preserve"> </w:t>
      </w:r>
      <w:r w:rsidR="00FF621A">
        <w:rPr>
          <w:rFonts w:eastAsia="Calibri"/>
          <w:lang w:eastAsia="en-US"/>
        </w:rPr>
        <w:t xml:space="preserve"> № </w:t>
      </w:r>
      <w:r w:rsidR="00FF621A">
        <w:rPr>
          <w:rFonts w:eastAsia="Calibri"/>
          <w:lang w:val="en-US" w:eastAsia="en-US"/>
        </w:rPr>
        <w:t>I</w:t>
      </w:r>
      <w:r w:rsidR="00FF621A">
        <w:rPr>
          <w:rFonts w:eastAsia="Calibri"/>
          <w:lang w:eastAsia="en-US"/>
        </w:rPr>
        <w:t xml:space="preserve">/10-4 (с изменениями от 27 ноября 2024 года № </w:t>
      </w:r>
      <w:r w:rsidR="00FF621A">
        <w:rPr>
          <w:rFonts w:eastAsia="Calibri"/>
          <w:lang w:val="en-US" w:eastAsia="en-US"/>
        </w:rPr>
        <w:t>I</w:t>
      </w:r>
      <w:r w:rsidR="00FF621A">
        <w:rPr>
          <w:rFonts w:eastAsia="Calibri"/>
          <w:lang w:eastAsia="en-US"/>
        </w:rPr>
        <w:t xml:space="preserve">/38-3), </w:t>
      </w:r>
      <w:r w:rsidR="00C05D73" w:rsidRPr="00C52BFB">
        <w:rPr>
          <w:rFonts w:eastAsia="Calibri"/>
          <w:lang w:eastAsia="en-US"/>
        </w:rPr>
        <w:t xml:space="preserve">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C05D73" w:rsidRPr="00C52BFB">
        <w:rPr>
          <w:rFonts w:eastAsia="Calibri"/>
          <w:lang w:eastAsia="en-US"/>
        </w:rPr>
        <w:t>Горловского</w:t>
      </w:r>
      <w:proofErr w:type="spellEnd"/>
      <w:r w:rsidR="00C05D73" w:rsidRPr="00C52BFB">
        <w:rPr>
          <w:rFonts w:eastAsia="Calibri"/>
          <w:lang w:eastAsia="en-US"/>
        </w:rPr>
        <w:t xml:space="preserve"> городского совета Донецкой Народной Республики от 25 октября 2023 года</w:t>
      </w:r>
      <w:r w:rsidR="004864C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№ I/6-1 (с изменениями </w:t>
      </w:r>
      <w:r w:rsidR="003579A5">
        <w:rPr>
          <w:rFonts w:eastAsia="Calibri"/>
          <w:lang w:eastAsia="en-US"/>
        </w:rPr>
        <w:br/>
      </w:r>
      <w:r w:rsidR="00C05D73" w:rsidRPr="00C52BFB">
        <w:rPr>
          <w:rFonts w:eastAsia="Calibri"/>
          <w:lang w:eastAsia="en-US"/>
        </w:rPr>
        <w:t xml:space="preserve">от 03 апреля 2024 года </w:t>
      </w:r>
      <w:r w:rsidR="00C05D73" w:rsidRPr="001E238D">
        <w:rPr>
          <w:rFonts w:eastAsia="Calibri"/>
          <w:lang w:eastAsia="en-US"/>
        </w:rPr>
        <w:t>№ I/25-1</w:t>
      </w:r>
      <w:r w:rsidR="00555CEC">
        <w:rPr>
          <w:rFonts w:eastAsia="Calibri"/>
          <w:lang w:eastAsia="en-US"/>
        </w:rPr>
        <w:t xml:space="preserve">, от 20 декабря 2024 года № </w:t>
      </w:r>
      <w:r w:rsidR="00555CEC">
        <w:rPr>
          <w:rFonts w:eastAsia="Calibri"/>
          <w:lang w:val="en-US" w:eastAsia="en-US"/>
        </w:rPr>
        <w:t>I</w:t>
      </w:r>
      <w:r w:rsidR="00555CEC">
        <w:rPr>
          <w:rFonts w:eastAsia="Calibri"/>
          <w:lang w:eastAsia="en-US"/>
        </w:rPr>
        <w:t>/41-4</w:t>
      </w:r>
      <w:r w:rsidR="00C05D73" w:rsidRPr="001E238D">
        <w:rPr>
          <w:rFonts w:eastAsia="Calibri"/>
          <w:lang w:eastAsia="en-US"/>
        </w:rPr>
        <w:t>),</w:t>
      </w:r>
      <w:r w:rsidR="003A7CE9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 xml:space="preserve">подпунктом </w:t>
      </w:r>
      <w:r w:rsidR="00846EEF">
        <w:rPr>
          <w:rFonts w:eastAsia="Calibri"/>
          <w:lang w:eastAsia="en-US"/>
        </w:rPr>
        <w:t>36</w:t>
      </w:r>
      <w:r w:rsidR="003A7CE9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пункта 2.4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Положени</w:t>
      </w:r>
      <w:r w:rsidR="002A4F90" w:rsidRPr="00C52BFB">
        <w:rPr>
          <w:rFonts w:eastAsia="Calibri"/>
          <w:lang w:eastAsia="en-US"/>
        </w:rPr>
        <w:t>я</w:t>
      </w:r>
      <w:r w:rsidR="00097DA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об администрации городского округа Горловка</w:t>
      </w:r>
      <w:r w:rsidR="00097DAC">
        <w:rPr>
          <w:rFonts w:eastAsia="Calibri"/>
          <w:lang w:eastAsia="en-US"/>
        </w:rPr>
        <w:t xml:space="preserve">, </w:t>
      </w:r>
      <w:r w:rsidR="00097DAC" w:rsidRPr="00FD40C3">
        <w:t>утвержденн</w:t>
      </w:r>
      <w:r w:rsidR="00097DAC">
        <w:t>ого</w:t>
      </w:r>
      <w:r w:rsidR="00097DAC" w:rsidRPr="00FD40C3">
        <w:t xml:space="preserve"> решением Горловского городского совета Донецкой Народной Республики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от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10 ноября 2023 года № I/8-3,</w:t>
      </w:r>
      <w:r w:rsidR="008A50D2">
        <w:rPr>
          <w:rFonts w:eastAsia="Calibri"/>
          <w:lang w:eastAsia="en-US"/>
        </w:rPr>
        <w:t xml:space="preserve"> </w:t>
      </w:r>
      <w:r w:rsidR="00297A6E" w:rsidRPr="00C52BFB">
        <w:t>администрация городского округа Горловка Донецкой Народной Республики</w:t>
      </w:r>
    </w:p>
    <w:p w:rsidR="00EF43B7" w:rsidRPr="00C52BFB" w:rsidRDefault="00EF43B7" w:rsidP="005A7CEC">
      <w:pPr>
        <w:pStyle w:val="Bodytext20"/>
        <w:shd w:val="clear" w:color="auto" w:fill="auto"/>
        <w:spacing w:before="0" w:after="0" w:line="240" w:lineRule="auto"/>
        <w:ind w:firstLine="760"/>
      </w:pPr>
    </w:p>
    <w:p w:rsidR="005A7CEC" w:rsidRDefault="005A7CEC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</w:p>
    <w:p w:rsidR="0064751E" w:rsidRDefault="00EF43B7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  <w:r>
        <w:rPr>
          <w:b/>
        </w:rPr>
        <w:t>П</w:t>
      </w:r>
      <w:r w:rsidR="002E1110" w:rsidRPr="00C52BFB">
        <w:rPr>
          <w:b/>
        </w:rPr>
        <w:t>ОСТАНО</w:t>
      </w:r>
      <w:r w:rsidR="0064751E" w:rsidRPr="00C52BFB">
        <w:rPr>
          <w:b/>
        </w:rPr>
        <w:t>ВЛЯЕТ:</w:t>
      </w:r>
    </w:p>
    <w:p w:rsidR="005A7CEC" w:rsidRDefault="005A7CEC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</w:p>
    <w:p w:rsidR="005A7CEC" w:rsidRDefault="005A7CEC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</w:p>
    <w:p w:rsidR="00C52BFB" w:rsidRPr="001E238D" w:rsidRDefault="00846EEF" w:rsidP="00C52BFB">
      <w:pPr>
        <w:pStyle w:val="Default"/>
        <w:numPr>
          <w:ilvl w:val="0"/>
          <w:numId w:val="15"/>
        </w:numPr>
        <w:ind w:left="0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</w:t>
      </w:r>
      <w:r w:rsidR="009C2F3A">
        <w:rPr>
          <w:sz w:val="28"/>
          <w:szCs w:val="28"/>
        </w:rPr>
        <w:t xml:space="preserve">Прогноз социально-экономического развития </w:t>
      </w:r>
      <w:r w:rsidR="003579A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городско</w:t>
      </w:r>
      <w:r w:rsidR="00112883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112883">
        <w:rPr>
          <w:sz w:val="28"/>
          <w:szCs w:val="28"/>
        </w:rPr>
        <w:t>а</w:t>
      </w:r>
      <w:r>
        <w:rPr>
          <w:sz w:val="28"/>
          <w:szCs w:val="28"/>
        </w:rPr>
        <w:t xml:space="preserve"> Горловка Донецкой Народной Республики</w:t>
      </w:r>
      <w:r w:rsidR="009C2F3A">
        <w:rPr>
          <w:sz w:val="28"/>
          <w:szCs w:val="28"/>
        </w:rPr>
        <w:t xml:space="preserve"> на 2025 год</w:t>
      </w:r>
      <w:r>
        <w:rPr>
          <w:sz w:val="28"/>
          <w:szCs w:val="28"/>
        </w:rPr>
        <w:t xml:space="preserve"> (прилагается).</w:t>
      </w:r>
    </w:p>
    <w:p w:rsidR="009A7D15" w:rsidRDefault="009A7D15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C4F41" w:rsidRDefault="00D6449A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="00DC4F41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официальному опубликованию </w:t>
      </w:r>
      <w:r w:rsidR="00682D59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>в сетевом издании Государственной информационной системе нормативных правовых актов Донецкой Народной Республики – gisnpa-dnr.ru</w:t>
      </w:r>
      <w:r w:rsidR="00E455D4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E455D4" w:rsidRDefault="00E455D4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455D4" w:rsidRPr="00C52BFB" w:rsidRDefault="00E455D4" w:rsidP="00E455D4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 w:rsidR="00097DAC">
        <w:rPr>
          <w:rFonts w:ascii="Times New Roman" w:eastAsiaTheme="minorHAnsi" w:hAnsi="Times New Roman"/>
          <w:color w:val="000000"/>
          <w:sz w:val="28"/>
          <w:szCs w:val="28"/>
        </w:rPr>
        <w:t>размещению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95786A" w:rsidRPr="00C52BFB" w:rsidRDefault="0095786A" w:rsidP="00DC4F41">
      <w:pPr>
        <w:pStyle w:val="Default"/>
        <w:ind w:firstLine="708"/>
        <w:jc w:val="both"/>
        <w:rPr>
          <w:sz w:val="28"/>
          <w:szCs w:val="28"/>
        </w:rPr>
      </w:pPr>
    </w:p>
    <w:p w:rsidR="00651968" w:rsidRDefault="00E455D4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1968" w:rsidRPr="00C52BFB">
        <w:rPr>
          <w:sz w:val="28"/>
          <w:szCs w:val="28"/>
        </w:rPr>
        <w:t xml:space="preserve">. </w:t>
      </w:r>
      <w:r w:rsidR="00BD6EF0" w:rsidRPr="00C52BFB">
        <w:rPr>
          <w:sz w:val="28"/>
          <w:szCs w:val="28"/>
        </w:rPr>
        <w:t>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097DAC" w:rsidRDefault="00097DAC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64751E" w:rsidRPr="00C52BFB" w:rsidRDefault="00E455D4" w:rsidP="006475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751E" w:rsidRPr="00C52BFB">
        <w:rPr>
          <w:sz w:val="28"/>
          <w:szCs w:val="28"/>
        </w:rPr>
        <w:t xml:space="preserve">. </w:t>
      </w:r>
      <w:r w:rsidR="00BD6EF0" w:rsidRPr="00C52BFB">
        <w:rPr>
          <w:sz w:val="28"/>
          <w:szCs w:val="28"/>
        </w:rPr>
        <w:t xml:space="preserve">Настоящее Постановление вступает в силу </w:t>
      </w:r>
      <w:r w:rsidR="00097DAC" w:rsidRPr="00C52BFB">
        <w:rPr>
          <w:sz w:val="28"/>
          <w:szCs w:val="28"/>
        </w:rPr>
        <w:t>с</w:t>
      </w:r>
      <w:r w:rsidR="00097DAC">
        <w:rPr>
          <w:sz w:val="28"/>
          <w:szCs w:val="28"/>
        </w:rPr>
        <w:t>о</w:t>
      </w:r>
      <w:r w:rsidR="00097DAC" w:rsidRPr="00C52BFB">
        <w:rPr>
          <w:sz w:val="28"/>
          <w:szCs w:val="28"/>
        </w:rPr>
        <w:t xml:space="preserve"> д</w:t>
      </w:r>
      <w:r w:rsidR="00097DAC">
        <w:rPr>
          <w:sz w:val="28"/>
          <w:szCs w:val="28"/>
        </w:rPr>
        <w:t>ня</w:t>
      </w:r>
      <w:r w:rsidR="00097DAC" w:rsidRPr="00C52BFB">
        <w:rPr>
          <w:sz w:val="28"/>
          <w:szCs w:val="28"/>
        </w:rPr>
        <w:t xml:space="preserve"> его </w:t>
      </w:r>
      <w:r w:rsidR="00097DAC">
        <w:rPr>
          <w:sz w:val="28"/>
          <w:szCs w:val="28"/>
        </w:rPr>
        <w:t xml:space="preserve">официального </w:t>
      </w:r>
      <w:r w:rsidR="00097DAC" w:rsidRPr="00C52BFB">
        <w:rPr>
          <w:sz w:val="28"/>
          <w:szCs w:val="28"/>
        </w:rPr>
        <w:t>опубликования</w:t>
      </w:r>
      <w:r w:rsidR="00BD6EF0" w:rsidRPr="00C52BFB">
        <w:rPr>
          <w:sz w:val="28"/>
          <w:szCs w:val="28"/>
        </w:rPr>
        <w:t>.</w:t>
      </w:r>
    </w:p>
    <w:p w:rsidR="006D61C2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846EEF" w:rsidRPr="00C52BFB" w:rsidRDefault="00846EEF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11DDB" w:rsidRDefault="00846EEF" w:rsidP="002A4F9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46EEF" w:rsidRDefault="00846EEF" w:rsidP="002A4F9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846EEF" w:rsidRDefault="00846EEF" w:rsidP="002A4F9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116E15" w:rsidRDefault="00116E15" w:rsidP="002A4F90">
      <w:pPr>
        <w:pStyle w:val="af3"/>
        <w:rPr>
          <w:rFonts w:ascii="Times New Roman" w:hAnsi="Times New Roman"/>
          <w:sz w:val="28"/>
          <w:szCs w:val="28"/>
        </w:rPr>
        <w:sectPr w:rsidR="00116E15" w:rsidSect="009A7D15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УТВЕРЖДЕН</w:t>
      </w: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городского округа Горловка</w:t>
      </w: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Донецкой Народной Республики</w:t>
      </w:r>
    </w:p>
    <w:p w:rsidR="004576C7" w:rsidRDefault="006B2BA9" w:rsidP="004576C7">
      <w:pPr>
        <w:pStyle w:val="af3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 12 февраля 2025 г. № 124</w:t>
      </w:r>
    </w:p>
    <w:p w:rsidR="004576C7" w:rsidRDefault="004576C7" w:rsidP="004576C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4576C7" w:rsidRDefault="004576C7" w:rsidP="004576C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4576C7" w:rsidRPr="004F0AA2" w:rsidRDefault="004576C7" w:rsidP="004576C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F0AA2">
        <w:rPr>
          <w:rFonts w:ascii="Times New Roman" w:hAnsi="Times New Roman"/>
          <w:b/>
          <w:sz w:val="28"/>
          <w:szCs w:val="28"/>
        </w:rPr>
        <w:t>П</w:t>
      </w:r>
      <w:r w:rsidR="00756F2C">
        <w:rPr>
          <w:rFonts w:ascii="Times New Roman" w:hAnsi="Times New Roman"/>
          <w:b/>
          <w:sz w:val="28"/>
          <w:szCs w:val="28"/>
        </w:rPr>
        <w:t>рогноз</w:t>
      </w:r>
    </w:p>
    <w:p w:rsidR="004576C7" w:rsidRPr="004F0AA2" w:rsidRDefault="00756F2C" w:rsidP="004576C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  <w:r w:rsidR="004576C7" w:rsidRPr="004F0AA2">
        <w:rPr>
          <w:rFonts w:ascii="Times New Roman" w:hAnsi="Times New Roman"/>
          <w:b/>
          <w:sz w:val="28"/>
          <w:szCs w:val="28"/>
        </w:rPr>
        <w:t>муниципально</w:t>
      </w:r>
      <w:r w:rsidR="00682D59">
        <w:rPr>
          <w:rFonts w:ascii="Times New Roman" w:hAnsi="Times New Roman"/>
          <w:b/>
          <w:sz w:val="28"/>
          <w:szCs w:val="28"/>
        </w:rPr>
        <w:t>го</w:t>
      </w:r>
      <w:r w:rsidR="004576C7" w:rsidRPr="004F0AA2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682D59">
        <w:rPr>
          <w:rFonts w:ascii="Times New Roman" w:hAnsi="Times New Roman"/>
          <w:b/>
          <w:sz w:val="28"/>
          <w:szCs w:val="28"/>
        </w:rPr>
        <w:t xml:space="preserve">я </w:t>
      </w:r>
      <w:r w:rsidR="00112883">
        <w:rPr>
          <w:rFonts w:ascii="Times New Roman" w:hAnsi="Times New Roman"/>
          <w:b/>
          <w:sz w:val="28"/>
          <w:szCs w:val="28"/>
        </w:rPr>
        <w:t>городского</w:t>
      </w:r>
      <w:r w:rsidR="004576C7" w:rsidRPr="004F0AA2">
        <w:rPr>
          <w:rFonts w:ascii="Times New Roman" w:hAnsi="Times New Roman"/>
          <w:b/>
          <w:sz w:val="28"/>
          <w:szCs w:val="28"/>
        </w:rPr>
        <w:t xml:space="preserve"> округ</w:t>
      </w:r>
      <w:r w:rsidR="00112883">
        <w:rPr>
          <w:rFonts w:ascii="Times New Roman" w:hAnsi="Times New Roman"/>
          <w:b/>
          <w:sz w:val="28"/>
          <w:szCs w:val="28"/>
        </w:rPr>
        <w:t>а</w:t>
      </w:r>
      <w:r w:rsidR="004576C7" w:rsidRPr="004F0AA2">
        <w:rPr>
          <w:rFonts w:ascii="Times New Roman" w:hAnsi="Times New Roman"/>
          <w:b/>
          <w:sz w:val="28"/>
          <w:szCs w:val="28"/>
        </w:rPr>
        <w:t xml:space="preserve"> Горловка Донецкой Народной Республики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4576C7" w:rsidRPr="00756F2C" w:rsidRDefault="004576C7" w:rsidP="00756F2C">
      <w:pPr>
        <w:pStyle w:val="af3"/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756F2C" w:rsidRPr="00756F2C" w:rsidRDefault="00682D59" w:rsidP="00756F2C">
      <w:pPr>
        <w:pStyle w:val="af5"/>
        <w:spacing w:line="259" w:lineRule="auto"/>
        <w:jc w:val="both"/>
        <w:rPr>
          <w:b w:val="0"/>
          <w:szCs w:val="28"/>
        </w:rPr>
      </w:pPr>
      <w:r w:rsidRPr="00756F2C">
        <w:rPr>
          <w:b w:val="0"/>
          <w:szCs w:val="28"/>
        </w:rPr>
        <w:tab/>
      </w:r>
      <w:r w:rsidR="00756F2C" w:rsidRPr="00756F2C">
        <w:rPr>
          <w:b w:val="0"/>
          <w:szCs w:val="28"/>
        </w:rPr>
        <w:t xml:space="preserve">Прогноз социально-экономического развития городского округа Горловка на 2025 год разработан на основе имеющихся данных, комплексного анализа сложившейся ситуации, потенциала муниципального образования, эффективности использования имеющихся ресурсов. 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Основные параметры прогноза социально – экономического развития городского округа Горловка согласно Сценарным условиям разработаны в двух вариантах – базовом и консервативном.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Отличия по вариантам состоят в </w:t>
      </w:r>
      <w:proofErr w:type="gramStart"/>
      <w:r w:rsidRPr="00756F2C">
        <w:rPr>
          <w:rFonts w:ascii="Times New Roman" w:hAnsi="Times New Roman"/>
          <w:sz w:val="28"/>
          <w:szCs w:val="28"/>
        </w:rPr>
        <w:t>р</w:t>
      </w:r>
      <w:r w:rsidRPr="00756F2C">
        <w:rPr>
          <w:rFonts w:ascii="Times New Roman" w:hAnsi="Times New Roman"/>
          <w:bCs/>
          <w:sz w:val="28"/>
          <w:szCs w:val="28"/>
        </w:rPr>
        <w:t>азличной степени влияния</w:t>
      </w:r>
      <w:proofErr w:type="gramEnd"/>
      <w:r w:rsidRPr="00756F2C">
        <w:rPr>
          <w:rFonts w:ascii="Times New Roman" w:hAnsi="Times New Roman"/>
          <w:bCs/>
          <w:sz w:val="28"/>
          <w:szCs w:val="28"/>
        </w:rPr>
        <w:t xml:space="preserve"> проводимой специальной военной операции, последствий </w:t>
      </w:r>
      <w:proofErr w:type="spellStart"/>
      <w:r w:rsidRPr="00756F2C">
        <w:rPr>
          <w:rFonts w:ascii="Times New Roman" w:hAnsi="Times New Roman"/>
          <w:bCs/>
          <w:sz w:val="28"/>
          <w:szCs w:val="28"/>
        </w:rPr>
        <w:t>санкционного</w:t>
      </w:r>
      <w:proofErr w:type="spellEnd"/>
      <w:r w:rsidRPr="00756F2C">
        <w:rPr>
          <w:rFonts w:ascii="Times New Roman" w:hAnsi="Times New Roman"/>
          <w:bCs/>
          <w:sz w:val="28"/>
          <w:szCs w:val="28"/>
        </w:rPr>
        <w:t xml:space="preserve"> кризиса</w:t>
      </w:r>
      <w:r w:rsidRPr="00756F2C">
        <w:rPr>
          <w:rFonts w:ascii="Times New Roman" w:hAnsi="Times New Roman"/>
          <w:sz w:val="28"/>
          <w:szCs w:val="28"/>
        </w:rPr>
        <w:t xml:space="preserve"> на экономику города и различной скорости восстановления и выхода экономики города Горловка из кризиса и перехода на ее посткризисное восстановление,</w:t>
      </w:r>
      <w:r w:rsidRPr="00756F2C">
        <w:rPr>
          <w:rFonts w:ascii="Times New Roman" w:hAnsi="Times New Roman"/>
          <w:bCs/>
          <w:sz w:val="28"/>
          <w:szCs w:val="28"/>
        </w:rPr>
        <w:t xml:space="preserve"> масштабности и эффективности предпринимаемых мер по обеспечению устойчивого развития экономики и социальной стабильности. Оба варианта развития базируются на единых целях и приоритетах государственной социально-экономической политики по восстановлению и выходу экономики на траекторию устойчивого развития, обеспечивающую реализацию национальных целей, но </w:t>
      </w:r>
      <w:r w:rsidRPr="00756F2C">
        <w:rPr>
          <w:rFonts w:ascii="Times New Roman" w:hAnsi="Times New Roman"/>
          <w:sz w:val="28"/>
          <w:szCs w:val="28"/>
        </w:rPr>
        <w:t>степень их достижения будет различной. Вариативность степени достижения целей определяется реализацией различных сценариев и выражается в соответствующих ожидаемых результатах.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Базовый вариант развития исходит из предпосылок полной реализации мер, направленных на восстановление экономики и обеспечение устойчивого экономического роста и социальной стабильности. Консервативный вариант предполагает наличие рисков не достижения поставленных задач. 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6F2C">
        <w:rPr>
          <w:rFonts w:ascii="Times New Roman" w:hAnsi="Times New Roman"/>
          <w:bCs/>
          <w:sz w:val="28"/>
          <w:szCs w:val="28"/>
        </w:rPr>
        <w:t xml:space="preserve">Базовый вариант предполагает, что экономика сможет быстрее адаптироваться к новым условиям и перейти к восстановительному росту по сравнению с консервативным вариантом. </w:t>
      </w:r>
    </w:p>
    <w:p w:rsidR="00756F2C" w:rsidRPr="00756F2C" w:rsidRDefault="00756F2C" w:rsidP="00756F2C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Главной целью является повышение качества жизни населения на основе устойчивого развития экономики города.</w:t>
      </w:r>
    </w:p>
    <w:p w:rsidR="00756F2C" w:rsidRDefault="00756F2C" w:rsidP="00756F2C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7E97" w:rsidRDefault="00787E97" w:rsidP="00756F2C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7E97" w:rsidRPr="00756F2C" w:rsidRDefault="00787E97" w:rsidP="00756F2C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6F2C" w:rsidRPr="00756F2C" w:rsidRDefault="00756F2C" w:rsidP="00756F2C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6F2C">
        <w:rPr>
          <w:rFonts w:ascii="Times New Roman" w:hAnsi="Times New Roman"/>
          <w:b/>
          <w:sz w:val="28"/>
          <w:szCs w:val="28"/>
        </w:rPr>
        <w:lastRenderedPageBreak/>
        <w:t>Ключевые моменты прогноза</w:t>
      </w:r>
    </w:p>
    <w:p w:rsidR="00756F2C" w:rsidRPr="00756F2C" w:rsidRDefault="00756F2C" w:rsidP="00756F2C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6F2C" w:rsidRPr="00756F2C" w:rsidRDefault="00756F2C" w:rsidP="00756F2C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756F2C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756F2C">
        <w:rPr>
          <w:rFonts w:ascii="Times New Roman" w:hAnsi="Times New Roman"/>
          <w:b/>
          <w:bCs/>
          <w:color w:val="333333"/>
          <w:sz w:val="28"/>
          <w:szCs w:val="28"/>
        </w:rPr>
        <w:tab/>
      </w:r>
      <w:r w:rsidRPr="00756F2C">
        <w:rPr>
          <w:rFonts w:ascii="Times New Roman" w:hAnsi="Times New Roman"/>
          <w:b/>
          <w:sz w:val="28"/>
          <w:szCs w:val="28"/>
        </w:rPr>
        <w:t>Создание транспортно-логистического центра (</w:t>
      </w:r>
      <w:proofErr w:type="spellStart"/>
      <w:r w:rsidRPr="00756F2C">
        <w:rPr>
          <w:rFonts w:ascii="Times New Roman" w:hAnsi="Times New Roman"/>
          <w:b/>
          <w:sz w:val="28"/>
          <w:szCs w:val="28"/>
        </w:rPr>
        <w:t>хаб</w:t>
      </w:r>
      <w:proofErr w:type="spellEnd"/>
      <w:r w:rsidRPr="00756F2C">
        <w:rPr>
          <w:rFonts w:ascii="Times New Roman" w:hAnsi="Times New Roman"/>
          <w:b/>
          <w:sz w:val="28"/>
          <w:szCs w:val="28"/>
        </w:rPr>
        <w:t>).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Согласно долгосрочному прогнозу научно-технологического развития России до 2030 года, утвержденному Правительством, были выделены шесть направлений, в том числе транспортная система. Современные тенденции развития рынка логистических услуг позволяют нам утверждать, что транспортно-логистический центр будет выполнять не только функции взаимодействия между видами транспорта, но и организации накопления, и распределения материальных ресурсов. Учитывая географическое расположение муниципального образования, сопряженное с вновь освобожденными территориями, создание транспортного-логистического центра и развитие взаимосвязанных направлений является одним из приоритетных. </w:t>
      </w:r>
      <w:r w:rsidRPr="00756F2C">
        <w:rPr>
          <w:rFonts w:ascii="Times New Roman" w:hAnsi="Times New Roman"/>
          <w:color w:val="333333"/>
          <w:sz w:val="28"/>
          <w:szCs w:val="28"/>
        </w:rPr>
        <w:t xml:space="preserve">Это позволит реализовать благоприятный экономико-географический потенциал. </w:t>
      </w:r>
      <w:r w:rsidRPr="00756F2C">
        <w:rPr>
          <w:rFonts w:ascii="Times New Roman" w:hAnsi="Times New Roman"/>
          <w:sz w:val="28"/>
          <w:szCs w:val="28"/>
        </w:rPr>
        <w:t xml:space="preserve">Центр станет </w:t>
      </w:r>
      <w:r w:rsidRPr="00756F2C">
        <w:rPr>
          <w:rFonts w:ascii="Times New Roman" w:hAnsi="Times New Roman"/>
          <w:color w:val="000000"/>
          <w:sz w:val="28"/>
          <w:szCs w:val="28"/>
        </w:rPr>
        <w:t>базовой основой управления материальными потоками, обеспечит взаимосвязь между отправителями, потребителями, перевозчиками, экспедиторами. Даст толчок развитию банковских услуг в муниц</w:t>
      </w:r>
      <w:r w:rsidR="00787E97">
        <w:rPr>
          <w:rFonts w:ascii="Times New Roman" w:hAnsi="Times New Roman"/>
          <w:color w:val="000000"/>
          <w:sz w:val="28"/>
          <w:szCs w:val="28"/>
        </w:rPr>
        <w:t>ипальном образовании и регионе</w:t>
      </w:r>
      <w:r w:rsidRPr="00756F2C">
        <w:rPr>
          <w:rFonts w:ascii="Times New Roman" w:hAnsi="Times New Roman"/>
          <w:color w:val="000000"/>
          <w:sz w:val="28"/>
          <w:szCs w:val="28"/>
        </w:rPr>
        <w:t xml:space="preserve"> в целом.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756F2C">
        <w:rPr>
          <w:rFonts w:ascii="Times New Roman" w:hAnsi="Times New Roman"/>
          <w:b/>
          <w:bCs/>
          <w:color w:val="333333"/>
          <w:sz w:val="28"/>
          <w:szCs w:val="28"/>
        </w:rPr>
        <w:t>Ревитализация</w:t>
      </w:r>
      <w:proofErr w:type="spellEnd"/>
      <w:r w:rsidRPr="00756F2C">
        <w:rPr>
          <w:rFonts w:ascii="Times New Roman" w:hAnsi="Times New Roman"/>
          <w:b/>
          <w:bCs/>
          <w:color w:val="333333"/>
          <w:sz w:val="28"/>
          <w:szCs w:val="28"/>
        </w:rPr>
        <w:t xml:space="preserve"> неиспользуемых промышленных площадок</w:t>
      </w:r>
      <w:r w:rsidRPr="00756F2C">
        <w:rPr>
          <w:rFonts w:ascii="Times New Roman" w:hAnsi="Times New Roman"/>
          <w:color w:val="333333"/>
          <w:sz w:val="28"/>
          <w:szCs w:val="28"/>
        </w:rPr>
        <w:t xml:space="preserve"> в городе, </w:t>
      </w:r>
      <w:r w:rsidRPr="00756F2C">
        <w:rPr>
          <w:rFonts w:ascii="Times New Roman" w:hAnsi="Times New Roman"/>
          <w:color w:val="333333"/>
          <w:sz w:val="28"/>
          <w:szCs w:val="28"/>
        </w:rPr>
        <w:br/>
        <w:t xml:space="preserve">в том числе за счёт формирования, продвижения и реализации инвестиционных проектов. </w:t>
      </w:r>
      <w:r w:rsidRPr="00756F2C">
        <w:rPr>
          <w:rFonts w:ascii="Times New Roman" w:hAnsi="Times New Roman"/>
          <w:bCs/>
          <w:color w:val="333333"/>
          <w:sz w:val="28"/>
          <w:szCs w:val="28"/>
        </w:rPr>
        <w:t xml:space="preserve">Внедрение инвестиционных проектов и модернизация существующих </w:t>
      </w:r>
      <w:r w:rsidRPr="00756F2C">
        <w:rPr>
          <w:rFonts w:ascii="Times New Roman" w:hAnsi="Times New Roman"/>
          <w:color w:val="333333"/>
          <w:sz w:val="28"/>
          <w:szCs w:val="28"/>
        </w:rPr>
        <w:t xml:space="preserve">промышленных предприятий. 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6F2C">
        <w:rPr>
          <w:rFonts w:ascii="Times New Roman" w:hAnsi="Times New Roman"/>
          <w:b/>
          <w:color w:val="000000"/>
          <w:sz w:val="28"/>
          <w:szCs w:val="28"/>
        </w:rPr>
        <w:t>Развитие центра оптовой торговли.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F2C">
        <w:rPr>
          <w:rFonts w:ascii="Times New Roman" w:hAnsi="Times New Roman"/>
          <w:color w:val="000000"/>
          <w:sz w:val="28"/>
          <w:szCs w:val="28"/>
        </w:rPr>
        <w:t xml:space="preserve">Развитие центра оптовой торговли будет иметь положительную тенденцию. Предприятия этой отрасли усовершенствуют внутреннюю </w:t>
      </w:r>
      <w:r w:rsidR="00787E97">
        <w:rPr>
          <w:rFonts w:ascii="Times New Roman" w:hAnsi="Times New Roman"/>
          <w:color w:val="000000"/>
          <w:sz w:val="28"/>
          <w:szCs w:val="28"/>
        </w:rPr>
        <w:br/>
      </w:r>
      <w:r w:rsidRPr="00756F2C">
        <w:rPr>
          <w:rFonts w:ascii="Times New Roman" w:hAnsi="Times New Roman"/>
          <w:color w:val="000000"/>
          <w:sz w:val="28"/>
          <w:szCs w:val="28"/>
        </w:rPr>
        <w:t xml:space="preserve">и внешнюю инфраструктуру; расширят товарный ассортимент и спектр предоставляемых услуг. Прослеживается взаимосвязь с созданием транспортно-логистического центра. Возможность более оперативного решения вопросов, связанных с обеспечением вновь освобожденных территорий. Исчезнут «лишние» посредники, на рынке остаются предприятия с хорошей репутацией </w:t>
      </w:r>
      <w:r w:rsidR="00787E97">
        <w:rPr>
          <w:rFonts w:ascii="Times New Roman" w:hAnsi="Times New Roman"/>
          <w:color w:val="000000"/>
          <w:sz w:val="28"/>
          <w:szCs w:val="28"/>
        </w:rPr>
        <w:br/>
      </w:r>
      <w:r w:rsidRPr="00756F2C">
        <w:rPr>
          <w:rFonts w:ascii="Times New Roman" w:hAnsi="Times New Roman"/>
          <w:color w:val="000000"/>
          <w:sz w:val="28"/>
          <w:szCs w:val="28"/>
        </w:rPr>
        <w:t>и квалифицированным персоналом.</w:t>
      </w:r>
    </w:p>
    <w:p w:rsidR="00756F2C" w:rsidRPr="00756F2C" w:rsidRDefault="00756F2C" w:rsidP="00756F2C">
      <w:pPr>
        <w:spacing w:after="0" w:line="259" w:lineRule="auto"/>
        <w:ind w:firstLine="70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6F2C">
        <w:rPr>
          <w:rFonts w:ascii="Times New Roman" w:hAnsi="Times New Roman"/>
          <w:b/>
          <w:color w:val="000000"/>
          <w:sz w:val="28"/>
          <w:szCs w:val="28"/>
        </w:rPr>
        <w:t>Развитие строительной отрасли и промышленности строительных материалов. Добывающей отрасли строительных материалов.</w:t>
      </w:r>
    </w:p>
    <w:p w:rsidR="00756F2C" w:rsidRPr="00756F2C" w:rsidRDefault="00756F2C" w:rsidP="00756F2C">
      <w:pPr>
        <w:spacing w:after="0" w:line="259" w:lineRule="auto"/>
        <w:ind w:firstLine="703"/>
        <w:jc w:val="both"/>
        <w:rPr>
          <w:rFonts w:ascii="Times New Roman" w:hAnsi="Times New Roman"/>
          <w:color w:val="000000"/>
          <w:sz w:val="28"/>
          <w:szCs w:val="28"/>
        </w:rPr>
      </w:pPr>
      <w:r w:rsidRPr="00756F2C">
        <w:rPr>
          <w:rFonts w:ascii="Times New Roman" w:hAnsi="Times New Roman"/>
          <w:color w:val="000000"/>
          <w:sz w:val="28"/>
          <w:szCs w:val="28"/>
        </w:rPr>
        <w:t xml:space="preserve">Путем поддержки малого и среднего предпринимательства при организации передвижных заводов и мини заводов по выпуску строительных материалов и изделий, металлоконструкций, инженерных систем </w:t>
      </w:r>
      <w:r w:rsidR="00787E97">
        <w:rPr>
          <w:rFonts w:ascii="Times New Roman" w:hAnsi="Times New Roman"/>
          <w:color w:val="000000"/>
          <w:sz w:val="28"/>
          <w:szCs w:val="28"/>
        </w:rPr>
        <w:br/>
      </w:r>
      <w:r w:rsidRPr="00756F2C">
        <w:rPr>
          <w:rFonts w:ascii="Times New Roman" w:hAnsi="Times New Roman"/>
          <w:color w:val="000000"/>
          <w:sz w:val="28"/>
          <w:szCs w:val="28"/>
        </w:rPr>
        <w:t>и оборудования, прочих строительных материалов.</w:t>
      </w:r>
    </w:p>
    <w:p w:rsidR="00756F2C" w:rsidRDefault="00756F2C" w:rsidP="00756F2C">
      <w:pPr>
        <w:spacing w:after="0" w:line="259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756F2C">
        <w:rPr>
          <w:rFonts w:ascii="Times New Roman" w:hAnsi="Times New Roman"/>
          <w:color w:val="000000"/>
          <w:sz w:val="28"/>
          <w:szCs w:val="28"/>
        </w:rPr>
        <w:t>Развитие добывающей отрасли строительных материалов (добыча декоративного и строительного камня, известняка, доломита, гипса, ангидрита, мела и глинистого сланца).</w:t>
      </w:r>
    </w:p>
    <w:p w:rsidR="00787E97" w:rsidRPr="00756F2C" w:rsidRDefault="00787E97" w:rsidP="00756F2C">
      <w:pPr>
        <w:spacing w:after="0" w:line="259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F2C" w:rsidRPr="00756F2C" w:rsidRDefault="00756F2C" w:rsidP="00756F2C">
      <w:pPr>
        <w:spacing w:after="0" w:line="259" w:lineRule="auto"/>
        <w:ind w:firstLine="70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6F2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Развитие химической отрасли. </w:t>
      </w:r>
    </w:p>
    <w:p w:rsidR="00756F2C" w:rsidRPr="00756F2C" w:rsidRDefault="00756F2C" w:rsidP="00756F2C">
      <w:pPr>
        <w:spacing w:after="0" w:line="259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756F2C">
        <w:rPr>
          <w:rFonts w:ascii="Times New Roman" w:hAnsi="Times New Roman"/>
          <w:color w:val="000000"/>
          <w:sz w:val="28"/>
          <w:szCs w:val="28"/>
        </w:rPr>
        <w:t xml:space="preserve">Развитие химической отрасли позволит удовлетворить не только спрос </w:t>
      </w:r>
      <w:r w:rsidR="002F25CC">
        <w:rPr>
          <w:rFonts w:ascii="Times New Roman" w:hAnsi="Times New Roman"/>
          <w:color w:val="000000"/>
          <w:sz w:val="28"/>
          <w:szCs w:val="28"/>
        </w:rPr>
        <w:br/>
      </w:r>
      <w:r w:rsidRPr="00756F2C">
        <w:rPr>
          <w:rFonts w:ascii="Times New Roman" w:hAnsi="Times New Roman"/>
          <w:color w:val="000000"/>
          <w:sz w:val="28"/>
          <w:szCs w:val="28"/>
        </w:rPr>
        <w:t xml:space="preserve">в минеральных удобрениях сельскохозяйственной отрасли региона, но </w:t>
      </w:r>
      <w:r w:rsidR="002F25CC">
        <w:rPr>
          <w:rFonts w:ascii="Times New Roman" w:hAnsi="Times New Roman"/>
          <w:color w:val="000000"/>
          <w:sz w:val="28"/>
          <w:szCs w:val="28"/>
        </w:rPr>
        <w:br/>
      </w:r>
      <w:r w:rsidRPr="00756F2C">
        <w:rPr>
          <w:rFonts w:ascii="Times New Roman" w:hAnsi="Times New Roman"/>
          <w:color w:val="000000"/>
          <w:sz w:val="28"/>
          <w:szCs w:val="28"/>
        </w:rPr>
        <w:t xml:space="preserve">и потребности в </w:t>
      </w:r>
      <w:r w:rsidRPr="00756F2C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аммиаке, карбамиде, аммиачной селитре, полистироле. 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color w:val="000000"/>
          <w:sz w:val="28"/>
          <w:szCs w:val="28"/>
        </w:rPr>
        <w:t xml:space="preserve">Развитие выше перечисленных перспективных отраслей экономики, определенных точками роста и экономического развития муниципального образования городского округа Горловка, будет способствовать позитивным изменениям уровня и качества жизни населения, воспроизводством социального, хозяйственного, ресурсного и экологического потенциалов территории. 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56F2C" w:rsidRPr="00756F2C" w:rsidRDefault="00756F2C" w:rsidP="00756F2C">
      <w:pPr>
        <w:widowControl w:val="0"/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756F2C">
        <w:rPr>
          <w:rFonts w:ascii="Times New Roman" w:hAnsi="Times New Roman"/>
          <w:b/>
          <w:sz w:val="28"/>
          <w:szCs w:val="28"/>
        </w:rPr>
        <w:t>Демография</w:t>
      </w:r>
    </w:p>
    <w:p w:rsidR="00756F2C" w:rsidRPr="00756F2C" w:rsidRDefault="00756F2C" w:rsidP="00756F2C">
      <w:pPr>
        <w:widowControl w:val="0"/>
        <w:spacing w:after="0" w:line="259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6F2C" w:rsidRPr="00756F2C" w:rsidRDefault="00756F2C" w:rsidP="00756F2C">
      <w:pPr>
        <w:pStyle w:val="af7"/>
        <w:widowControl w:val="0"/>
        <w:tabs>
          <w:tab w:val="left" w:pos="540"/>
        </w:tabs>
        <w:spacing w:after="0" w:line="259" w:lineRule="auto"/>
        <w:ind w:firstLine="709"/>
        <w:jc w:val="both"/>
        <w:rPr>
          <w:sz w:val="28"/>
          <w:szCs w:val="28"/>
          <w:lang w:val="ru-RU" w:eastAsia="ru-RU"/>
        </w:rPr>
      </w:pPr>
      <w:r w:rsidRPr="00756F2C">
        <w:rPr>
          <w:sz w:val="28"/>
          <w:szCs w:val="28"/>
          <w:lang w:val="ru-RU" w:eastAsia="ru-RU"/>
        </w:rPr>
        <w:t xml:space="preserve">Демографическая ситуация в муниципальном образовании городском округе Горловка в последние годы развивалась под влиянием сложившейся динамики рождаемости, смертности и миграции населения, обусловленной активными боевыми действиями в течение последних 10 лет. Прослеживается тенденция депопуляции. Стоит отметить, что данная проблема характерна не только для города Горловки, но и в целом для региона. </w:t>
      </w:r>
    </w:p>
    <w:p w:rsidR="00756F2C" w:rsidRPr="002F25CC" w:rsidRDefault="00756F2C" w:rsidP="002F25CC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56F2C">
        <w:rPr>
          <w:rFonts w:ascii="Times New Roman" w:hAnsi="Times New Roman"/>
          <w:sz w:val="28"/>
          <w:szCs w:val="28"/>
        </w:rPr>
        <w:t xml:space="preserve">Численность населения муниципального образования городского округа Горловка Донецкой Народной Республики - это суммарный показатель, состоящий из показателя численности населения, проживающего на территориях: </w:t>
      </w:r>
      <w:r w:rsidRPr="00756F2C"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Горловка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Федоровка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Пятихатки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пгт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Зайцево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>,</w:t>
      </w:r>
      <w:r w:rsidR="002F25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5CC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пгт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Гольмовский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Озеряновка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с.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Михайловка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Широкая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Балка,</w:t>
      </w:r>
      <w:r w:rsidR="002F25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5CC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Ставки -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исторически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сложившиеся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территории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- 233,6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тыс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человек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5CC">
        <w:rPr>
          <w:rFonts w:ascii="Times New Roman" w:hAnsi="Times New Roman"/>
          <w:sz w:val="28"/>
          <w:szCs w:val="28"/>
          <w:lang w:val="uk-UA"/>
        </w:rPr>
        <w:br/>
      </w:r>
      <w:r w:rsidRPr="00756F2C"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756F2C">
        <w:rPr>
          <w:rFonts w:ascii="Times New Roman" w:hAnsi="Times New Roman"/>
          <w:sz w:val="28"/>
          <w:szCs w:val="28"/>
        </w:rPr>
        <w:t>численность населения, проживающего на территориях, вошедших в состав муниципального образования городской округ Горловка в соответствие со статьей 5 Закона Донецкой Народной Республики от 06</w:t>
      </w:r>
      <w:r w:rsidR="00E6464E">
        <w:rPr>
          <w:rFonts w:ascii="Times New Roman" w:hAnsi="Times New Roman"/>
          <w:sz w:val="28"/>
          <w:szCs w:val="28"/>
        </w:rPr>
        <w:t xml:space="preserve"> апреля </w:t>
      </w:r>
      <w:r w:rsidRPr="00756F2C">
        <w:rPr>
          <w:rFonts w:ascii="Times New Roman" w:hAnsi="Times New Roman"/>
          <w:sz w:val="28"/>
          <w:szCs w:val="28"/>
        </w:rPr>
        <w:t xml:space="preserve">2023 </w:t>
      </w:r>
      <w:r w:rsidR="00E6464E">
        <w:rPr>
          <w:rFonts w:ascii="Times New Roman" w:hAnsi="Times New Roman"/>
          <w:sz w:val="28"/>
          <w:szCs w:val="28"/>
        </w:rPr>
        <w:t xml:space="preserve">года </w:t>
      </w:r>
      <w:r w:rsidR="00E6464E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 xml:space="preserve">№ 438 – </w:t>
      </w:r>
      <w:r w:rsidRPr="00756F2C">
        <w:rPr>
          <w:rFonts w:ascii="Times New Roman" w:hAnsi="Times New Roman"/>
          <w:sz w:val="28"/>
          <w:szCs w:val="28"/>
          <w:lang w:val="en-US"/>
        </w:rPr>
        <w:t>II</w:t>
      </w:r>
      <w:r w:rsidRPr="00756F2C">
        <w:rPr>
          <w:rFonts w:ascii="Times New Roman" w:hAnsi="Times New Roman"/>
          <w:sz w:val="28"/>
          <w:szCs w:val="28"/>
        </w:rPr>
        <w:t xml:space="preserve"> Н «Об образовании на территории Донецкой Народной Республики городских и муниципальных округов, установлении их границ» (</w:t>
      </w:r>
      <w:r w:rsidRPr="00756F2C"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Дзержинск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25CC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Крымское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г.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Артемово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пгт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Кирово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Горького,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Дылеевка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25CC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Дружба,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пос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Шумы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пгт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Ленинское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пгт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Нелеповка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пгт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Новгородское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>,</w:t>
      </w:r>
      <w:r w:rsidR="002F25CC">
        <w:rPr>
          <w:rFonts w:ascii="Times New Roman" w:hAnsi="Times New Roman"/>
          <w:sz w:val="28"/>
          <w:szCs w:val="28"/>
          <w:lang w:val="uk-UA"/>
        </w:rPr>
        <w:br/>
      </w:r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Леонидовка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Юрьевка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пгт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Петровка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пгт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Щербиновка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) – 85,3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тыс</w:t>
      </w:r>
      <w:proofErr w:type="spellEnd"/>
      <w:r w:rsidRPr="00756F2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56F2C">
        <w:rPr>
          <w:rFonts w:ascii="Times New Roman" w:hAnsi="Times New Roman"/>
          <w:sz w:val="28"/>
          <w:szCs w:val="28"/>
          <w:lang w:val="uk-UA"/>
        </w:rPr>
        <w:t>человек</w:t>
      </w:r>
      <w:proofErr w:type="spellEnd"/>
      <w:r w:rsidRPr="00756F2C">
        <w:rPr>
          <w:rFonts w:ascii="Times New Roman" w:hAnsi="Times New Roman"/>
          <w:i/>
          <w:sz w:val="28"/>
          <w:szCs w:val="28"/>
          <w:lang w:val="uk-UA"/>
        </w:rPr>
        <w:t>.</w:t>
      </w:r>
      <w:r w:rsidRPr="00756F2C">
        <w:rPr>
          <w:rFonts w:ascii="Times New Roman" w:hAnsi="Times New Roman"/>
          <w:sz w:val="28"/>
          <w:szCs w:val="28"/>
        </w:rPr>
        <w:t xml:space="preserve"> </w:t>
      </w:r>
    </w:p>
    <w:p w:rsidR="00756F2C" w:rsidRPr="00756F2C" w:rsidRDefault="00756F2C" w:rsidP="00756F2C">
      <w:pPr>
        <w:pStyle w:val="af7"/>
        <w:widowControl w:val="0"/>
        <w:tabs>
          <w:tab w:val="left" w:pos="540"/>
        </w:tabs>
        <w:spacing w:after="0" w:line="259" w:lineRule="auto"/>
        <w:ind w:firstLine="709"/>
        <w:jc w:val="both"/>
        <w:rPr>
          <w:sz w:val="28"/>
          <w:szCs w:val="28"/>
          <w:lang w:val="ru-RU" w:eastAsia="ru-RU"/>
        </w:rPr>
      </w:pPr>
      <w:r w:rsidRPr="00756F2C">
        <w:rPr>
          <w:sz w:val="28"/>
          <w:szCs w:val="28"/>
          <w:lang w:val="ru-RU" w:eastAsia="ru-RU"/>
        </w:rPr>
        <w:t xml:space="preserve">С учетом положительных тенденций в реализации целей специальной военной операции, возврат территорий под юрисдикцию Донецкой Народной Республики, в прогнозируемом периоде ожидается рост численности населения до 321,70 тыс. человек при базовом варианте развития и 319,2 тыс. человек при консервативном. </w:t>
      </w:r>
    </w:p>
    <w:p w:rsidR="00756F2C" w:rsidRPr="00756F2C" w:rsidRDefault="00756F2C" w:rsidP="00756F2C">
      <w:pPr>
        <w:pStyle w:val="af7"/>
        <w:widowControl w:val="0"/>
        <w:tabs>
          <w:tab w:val="left" w:pos="540"/>
        </w:tabs>
        <w:spacing w:after="0" w:line="259" w:lineRule="auto"/>
        <w:ind w:firstLine="709"/>
        <w:jc w:val="both"/>
        <w:rPr>
          <w:sz w:val="28"/>
          <w:szCs w:val="28"/>
          <w:lang w:val="ru-RU" w:eastAsia="ru-RU"/>
        </w:rPr>
      </w:pPr>
      <w:r w:rsidRPr="00756F2C">
        <w:rPr>
          <w:sz w:val="28"/>
          <w:szCs w:val="28"/>
          <w:lang w:val="ru-RU" w:eastAsia="ru-RU"/>
        </w:rPr>
        <w:t xml:space="preserve">В прогнозируемом периоде при базовом варианте численность населения трудоспособного возраста составит 236,13 тыс. человек, это 73,4 % всех жителей муниципального образования. Численность населения младше трудоспособного </w:t>
      </w:r>
      <w:r w:rsidRPr="00756F2C">
        <w:rPr>
          <w:sz w:val="28"/>
          <w:szCs w:val="28"/>
          <w:lang w:val="ru-RU" w:eastAsia="ru-RU"/>
        </w:rPr>
        <w:lastRenderedPageBreak/>
        <w:t xml:space="preserve">возраста составляет 36,97 тыс. человек и старше трудоспособного возраста </w:t>
      </w:r>
      <w:r w:rsidR="002F25CC">
        <w:rPr>
          <w:sz w:val="28"/>
          <w:szCs w:val="28"/>
          <w:lang w:val="ru-RU" w:eastAsia="ru-RU"/>
        </w:rPr>
        <w:t xml:space="preserve">– </w:t>
      </w:r>
      <w:r w:rsidR="002F25CC">
        <w:rPr>
          <w:sz w:val="28"/>
          <w:szCs w:val="28"/>
          <w:lang w:val="ru-RU" w:eastAsia="ru-RU"/>
        </w:rPr>
        <w:br/>
      </w:r>
      <w:r w:rsidRPr="00756F2C">
        <w:rPr>
          <w:sz w:val="28"/>
          <w:szCs w:val="28"/>
          <w:lang w:val="ru-RU" w:eastAsia="ru-RU"/>
        </w:rPr>
        <w:t>48,6 тыс. человек. Население нетрудоспособного возраста составляет 85,57 тыс. человек или 26,6 % от общей численности жителей города.</w:t>
      </w:r>
    </w:p>
    <w:p w:rsidR="00756F2C" w:rsidRPr="00756F2C" w:rsidRDefault="00756F2C" w:rsidP="00756F2C">
      <w:pPr>
        <w:pStyle w:val="af7"/>
        <w:widowControl w:val="0"/>
        <w:tabs>
          <w:tab w:val="left" w:pos="540"/>
        </w:tabs>
        <w:spacing w:after="0" w:line="259" w:lineRule="auto"/>
        <w:ind w:firstLine="709"/>
        <w:jc w:val="both"/>
        <w:rPr>
          <w:sz w:val="28"/>
          <w:szCs w:val="28"/>
          <w:lang w:val="ru-RU" w:eastAsia="ru-RU"/>
        </w:rPr>
      </w:pPr>
      <w:r w:rsidRPr="00756F2C">
        <w:rPr>
          <w:sz w:val="28"/>
          <w:szCs w:val="28"/>
          <w:lang w:val="ru-RU" w:eastAsia="ru-RU"/>
        </w:rPr>
        <w:t xml:space="preserve">Среди факторов, позволяющих рассчитывать на уменьшение смертности населения, постепенное увеличение рождаемости и возвращение населения </w:t>
      </w:r>
      <w:r w:rsidR="002F25CC">
        <w:rPr>
          <w:sz w:val="28"/>
          <w:szCs w:val="28"/>
          <w:lang w:val="ru-RU" w:eastAsia="ru-RU"/>
        </w:rPr>
        <w:br/>
      </w:r>
      <w:r w:rsidRPr="00756F2C">
        <w:rPr>
          <w:sz w:val="28"/>
          <w:szCs w:val="28"/>
          <w:lang w:val="ru-RU" w:eastAsia="ru-RU"/>
        </w:rPr>
        <w:t xml:space="preserve">в город в прогнозируемом периоде, является реализация целей специальной военной операции, восстановление экономики и последующей стабилизации социальной сферы, создание комфортной среды проживания. </w:t>
      </w:r>
    </w:p>
    <w:p w:rsidR="00756F2C" w:rsidRPr="00756F2C" w:rsidRDefault="00756F2C" w:rsidP="00756F2C">
      <w:pPr>
        <w:pStyle w:val="af7"/>
        <w:widowControl w:val="0"/>
        <w:tabs>
          <w:tab w:val="left" w:pos="540"/>
        </w:tabs>
        <w:spacing w:after="0"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56F2C" w:rsidRPr="00756F2C" w:rsidRDefault="00756F2C" w:rsidP="00756F2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756F2C">
        <w:rPr>
          <w:rFonts w:ascii="Times New Roman" w:hAnsi="Times New Roman"/>
          <w:b/>
          <w:sz w:val="28"/>
          <w:szCs w:val="28"/>
        </w:rPr>
        <w:t>Промышленность</w:t>
      </w:r>
    </w:p>
    <w:p w:rsidR="00756F2C" w:rsidRPr="00756F2C" w:rsidRDefault="00756F2C" w:rsidP="00756F2C">
      <w:pPr>
        <w:spacing w:after="0" w:line="259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56F2C" w:rsidRPr="00756F2C" w:rsidRDefault="00756F2C" w:rsidP="00756F2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 </w:t>
      </w:r>
      <w:r w:rsidRPr="00756F2C">
        <w:rPr>
          <w:rFonts w:ascii="Times New Roman" w:hAnsi="Times New Roman"/>
          <w:sz w:val="28"/>
          <w:szCs w:val="28"/>
        </w:rPr>
        <w:tab/>
        <w:t xml:space="preserve">Развитие городской инфраструктуры невозможно без развития различных его составляющих, в частности без развития экономических отношений. На современном этапе развития именно экономическим отношениям, складывающимся в пределах муниципального образования, позиционирование городского округа Горловка в качестве города промышленных предприятий, обусловит городу дополнительную концентрацию инвестиций и рабочей силы. 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Промышленность города представлена предприятиями различных форм собственности, относящихся к следующим отраслям промышленности: химическая (в </w:t>
      </w:r>
      <w:proofErr w:type="spellStart"/>
      <w:r w:rsidRPr="00756F2C">
        <w:rPr>
          <w:rFonts w:ascii="Times New Roman" w:hAnsi="Times New Roman"/>
          <w:sz w:val="28"/>
          <w:szCs w:val="28"/>
        </w:rPr>
        <w:t>т.ч</w:t>
      </w:r>
      <w:proofErr w:type="spellEnd"/>
      <w:r w:rsidRPr="00756F2C">
        <w:rPr>
          <w:rFonts w:ascii="Times New Roman" w:hAnsi="Times New Roman"/>
          <w:sz w:val="28"/>
          <w:szCs w:val="28"/>
        </w:rPr>
        <w:t>. фармацевтическая), машиностроение, металлургия, энергетика (распределение электроэнергии, газа, пара, воды) и пищевая.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за период январь – август 2024 года составил 2 845,38 млн рублей. Ожидаемое значение данного показателя до конца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>2024 года составит 4 268,07 млн рублей. В прогнозируемом периоде этот показатель составит 4 353,43 млн рублей при базовом сценарии развития.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Наибольшую долю в структуре промышленного комплекса занимают предприятия коксохимической промышленности, энергетики (распределение электроэнергии, газа, пара, воды) и предприятия пищевой промышленности.  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F2C" w:rsidRPr="00756F2C" w:rsidRDefault="00756F2C" w:rsidP="00756F2C">
      <w:pPr>
        <w:widowControl w:val="0"/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756F2C"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756F2C" w:rsidRPr="00756F2C" w:rsidRDefault="00756F2C" w:rsidP="00756F2C">
      <w:pPr>
        <w:widowControl w:val="0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756F2C" w:rsidRPr="00756F2C" w:rsidRDefault="00756F2C" w:rsidP="00756F2C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Потребительский рынок городского округа Горловка представлен розничной торговлей, общественным питанием и различными видами платных услуг, оказываемых населению.</w:t>
      </w:r>
    </w:p>
    <w:p w:rsidR="00756F2C" w:rsidRPr="00756F2C" w:rsidRDefault="00756F2C" w:rsidP="00756F2C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В сферу потребительского рынка города Горловки входит:</w:t>
      </w:r>
    </w:p>
    <w:p w:rsidR="00756F2C" w:rsidRPr="00756F2C" w:rsidRDefault="00756F2C" w:rsidP="00E6464E">
      <w:pPr>
        <w:widowControl w:val="0"/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1</w:t>
      </w:r>
      <w:r w:rsidR="002F25CC">
        <w:rPr>
          <w:rFonts w:ascii="Times New Roman" w:hAnsi="Times New Roman"/>
          <w:sz w:val="28"/>
          <w:szCs w:val="28"/>
        </w:rPr>
        <w:t> </w:t>
      </w:r>
      <w:r w:rsidRPr="00756F2C">
        <w:rPr>
          <w:rFonts w:ascii="Times New Roman" w:hAnsi="Times New Roman"/>
          <w:sz w:val="28"/>
          <w:szCs w:val="28"/>
        </w:rPr>
        <w:t>398 – предприятия розничной торговли;</w:t>
      </w:r>
    </w:p>
    <w:p w:rsidR="00756F2C" w:rsidRPr="00756F2C" w:rsidRDefault="00756F2C" w:rsidP="00E6464E">
      <w:pPr>
        <w:widowControl w:val="0"/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150 </w:t>
      </w:r>
      <w:r w:rsidR="00E6464E">
        <w:rPr>
          <w:rFonts w:ascii="Times New Roman" w:hAnsi="Times New Roman"/>
          <w:sz w:val="28"/>
          <w:szCs w:val="28"/>
        </w:rPr>
        <w:t>–</w:t>
      </w:r>
      <w:r w:rsidRPr="00756F2C">
        <w:rPr>
          <w:rFonts w:ascii="Times New Roman" w:hAnsi="Times New Roman"/>
          <w:sz w:val="28"/>
          <w:szCs w:val="28"/>
        </w:rPr>
        <w:t xml:space="preserve"> общественного питания;</w:t>
      </w:r>
    </w:p>
    <w:p w:rsidR="00756F2C" w:rsidRPr="00756F2C" w:rsidRDefault="00756F2C" w:rsidP="00E6464E">
      <w:pPr>
        <w:widowControl w:val="0"/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330 – бытового обслуживания населения.</w:t>
      </w:r>
    </w:p>
    <w:p w:rsidR="00756F2C" w:rsidRPr="00756F2C" w:rsidRDefault="00756F2C" w:rsidP="00756F2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 </w:t>
      </w:r>
      <w:r w:rsidRPr="00756F2C">
        <w:rPr>
          <w:rFonts w:ascii="Times New Roman" w:hAnsi="Times New Roman"/>
          <w:sz w:val="28"/>
          <w:szCs w:val="28"/>
        </w:rPr>
        <w:tab/>
        <w:t>Зарегистрировано индивидуальных предпринимателей – 7 702 человек.</w:t>
      </w:r>
    </w:p>
    <w:p w:rsidR="00756F2C" w:rsidRPr="00756F2C" w:rsidRDefault="00756F2C" w:rsidP="00756F2C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За 9 месяцев 2024 года индекс потребительских цен составил 107,3 %,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lastRenderedPageBreak/>
        <w:t xml:space="preserve">в 2025 году по оценочным данным он составит 103,7 % при базовом сценарии развития и 104,5% при консервативном. </w:t>
      </w:r>
    </w:p>
    <w:p w:rsidR="00756F2C" w:rsidRPr="00756F2C" w:rsidRDefault="00756F2C" w:rsidP="00756F2C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Развитие потребительского рынка товаров и услуг в ближайшей перспективе будет направлено на максимальную обеспеченность населения необходимыми товарами и услугами, развитие конкурентной среды, повышение качества и безопасности товаров. Продолжится реализация мероприятий по продвижению продукции отечественных товаропроизводителей.</w:t>
      </w:r>
    </w:p>
    <w:p w:rsidR="00756F2C" w:rsidRPr="00756F2C" w:rsidRDefault="00756F2C" w:rsidP="00756F2C">
      <w:pPr>
        <w:pStyle w:val="af9"/>
        <w:widowControl w:val="0"/>
        <w:spacing w:line="259" w:lineRule="auto"/>
        <w:ind w:firstLine="0"/>
        <w:jc w:val="center"/>
        <w:rPr>
          <w:b/>
          <w:szCs w:val="28"/>
        </w:rPr>
      </w:pPr>
    </w:p>
    <w:p w:rsidR="00756F2C" w:rsidRPr="00756F2C" w:rsidRDefault="00756F2C" w:rsidP="00756F2C">
      <w:pPr>
        <w:pStyle w:val="af9"/>
        <w:widowControl w:val="0"/>
        <w:spacing w:line="259" w:lineRule="auto"/>
        <w:ind w:firstLine="0"/>
        <w:jc w:val="center"/>
        <w:rPr>
          <w:b/>
          <w:szCs w:val="28"/>
        </w:rPr>
      </w:pPr>
      <w:r w:rsidRPr="00756F2C">
        <w:rPr>
          <w:b/>
          <w:szCs w:val="28"/>
        </w:rPr>
        <w:t>Инвестиции</w:t>
      </w:r>
    </w:p>
    <w:p w:rsidR="00756F2C" w:rsidRPr="00756F2C" w:rsidRDefault="00756F2C" w:rsidP="00756F2C">
      <w:pPr>
        <w:pStyle w:val="af9"/>
        <w:widowControl w:val="0"/>
        <w:spacing w:line="259" w:lineRule="auto"/>
        <w:ind w:firstLine="709"/>
        <w:jc w:val="center"/>
        <w:rPr>
          <w:b/>
          <w:szCs w:val="28"/>
        </w:rPr>
      </w:pP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Инвестиции в основной капитал за январь – июнь 2024 года составили 873,53 млн рублей. Ожидаемый показатель за 2024 год составит 1 547,06 млн рублей. Прогнозные значения показателя в 2025 году составят 1 579,55 млн рублей при базовом варианте и 1 556,34 млн рублей соответственно при консервативном. 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ab/>
      </w:r>
      <w:r w:rsidRPr="00756F2C">
        <w:rPr>
          <w:rFonts w:ascii="Times New Roman" w:hAnsi="Times New Roman"/>
          <w:sz w:val="28"/>
          <w:szCs w:val="28"/>
        </w:rPr>
        <w:tab/>
      </w:r>
      <w:r w:rsidRPr="00756F2C">
        <w:rPr>
          <w:rFonts w:ascii="Times New Roman" w:hAnsi="Times New Roman"/>
          <w:sz w:val="28"/>
          <w:szCs w:val="28"/>
        </w:rPr>
        <w:tab/>
      </w:r>
      <w:proofErr w:type="spellStart"/>
      <w:r w:rsidRPr="00756F2C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756F2C">
        <w:rPr>
          <w:rFonts w:ascii="Times New Roman" w:hAnsi="Times New Roman"/>
          <w:b/>
          <w:sz w:val="28"/>
          <w:szCs w:val="28"/>
        </w:rPr>
        <w:t xml:space="preserve"> – коммунальное хозяйство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 </w:t>
      </w:r>
    </w:p>
    <w:p w:rsidR="00756F2C" w:rsidRPr="00756F2C" w:rsidRDefault="00756F2C" w:rsidP="00E6464E">
      <w:pPr>
        <w:pStyle w:val="af3"/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За 9 месяцев 2024 года выполнен комплекс мероприятий по благоустройству города Горловка. </w:t>
      </w:r>
    </w:p>
    <w:p w:rsidR="00756F2C" w:rsidRPr="00756F2C" w:rsidRDefault="00756F2C" w:rsidP="00E6464E">
      <w:pPr>
        <w:pStyle w:val="af3"/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Перечень основных мероприятий:</w:t>
      </w:r>
    </w:p>
    <w:p w:rsidR="00756F2C" w:rsidRPr="00756F2C" w:rsidRDefault="00756F2C" w:rsidP="00E6464E">
      <w:pPr>
        <w:pStyle w:val="af3"/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текущее содержание автомобильных дорог (ручная, механическая уборка, полив и мойка, зимнее содержание);</w:t>
      </w:r>
    </w:p>
    <w:p w:rsidR="00756F2C" w:rsidRPr="00756F2C" w:rsidRDefault="00756F2C" w:rsidP="00E6464E">
      <w:pPr>
        <w:pStyle w:val="af3"/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текущий (ямочный) ремонт автомобильных дорог;</w:t>
      </w:r>
    </w:p>
    <w:p w:rsidR="00756F2C" w:rsidRPr="00756F2C" w:rsidRDefault="00756F2C" w:rsidP="00E6464E">
      <w:pPr>
        <w:pStyle w:val="af3"/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текущее содержание и ремонт объектов благоустройства;</w:t>
      </w:r>
    </w:p>
    <w:p w:rsidR="00756F2C" w:rsidRPr="00756F2C" w:rsidRDefault="00756F2C" w:rsidP="00E6464E">
      <w:pPr>
        <w:pStyle w:val="af3"/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текущее содержание и ремонт зелёных насаждений;</w:t>
      </w:r>
    </w:p>
    <w:p w:rsidR="00756F2C" w:rsidRPr="00756F2C" w:rsidRDefault="00756F2C" w:rsidP="00E6464E">
      <w:pPr>
        <w:pStyle w:val="af3"/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текущее содержание и ремонт электрических сетей наружного освещения;</w:t>
      </w:r>
    </w:p>
    <w:p w:rsidR="00756F2C" w:rsidRPr="00756F2C" w:rsidRDefault="00756F2C" w:rsidP="00E6464E">
      <w:pPr>
        <w:pStyle w:val="af3"/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текущее содержание и ремонт светофорных объектов;</w:t>
      </w:r>
    </w:p>
    <w:p w:rsidR="00756F2C" w:rsidRPr="00756F2C" w:rsidRDefault="00756F2C" w:rsidP="00E6464E">
      <w:pPr>
        <w:pStyle w:val="af3"/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ликвидация стихийных свалок;</w:t>
      </w:r>
    </w:p>
    <w:p w:rsidR="00756F2C" w:rsidRPr="00756F2C" w:rsidRDefault="00756F2C" w:rsidP="00E6464E">
      <w:pPr>
        <w:pStyle w:val="af3"/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отлов и стерилизация бесхозных и бродячих животных.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Базовый и консервативный варианты планирования работ в сфере жилищно-коммунального хозяйства и дорожной инфраструктуры на 2025 год включают в себя: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содержание и ремонт объектов благоустройства, ремонт площади Ленина, текущий ремонт павильонов ожидания, текущий ремонт пешеходных ограждений;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зимнее и летнее содержание автомобильных дорог и тротуаров;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текущий ремонт дорожного полотна, устройство (восстановление) искусственной дорожной неровности (лежачие полицейские);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нанесение горизонтальной дорожной разметки;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устройство съездов для инвалидов на автомобильных дорогах;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lastRenderedPageBreak/>
        <w:t>содержание и ремонт зеленых насаждений;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содержание и ремонт линий наружного освещения;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содержание ливневых канализаций;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проведение профилактической обработки от клещей – проведение </w:t>
      </w:r>
      <w:proofErr w:type="spellStart"/>
      <w:r w:rsidRPr="00756F2C">
        <w:rPr>
          <w:rFonts w:ascii="Times New Roman" w:hAnsi="Times New Roman"/>
          <w:sz w:val="28"/>
          <w:szCs w:val="28"/>
        </w:rPr>
        <w:t>акарицидных</w:t>
      </w:r>
      <w:proofErr w:type="spellEnd"/>
      <w:r w:rsidRPr="00756F2C">
        <w:rPr>
          <w:rFonts w:ascii="Times New Roman" w:hAnsi="Times New Roman"/>
          <w:sz w:val="28"/>
          <w:szCs w:val="28"/>
        </w:rPr>
        <w:t xml:space="preserve"> обработок в парках, скверах);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текущее содержание территорий кладбищ муниципальной формы собственности (текущий ремонт ограждений, текущее содержание зелёных насаждений, ликвидация стихийных свалок, обустройство пешеходных дорожек на территории кладбищ муниципальной формы собственности);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ликвидация стихийных свалок;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отлов и стерилизация бесхозных и бродячих животных.</w:t>
      </w:r>
    </w:p>
    <w:p w:rsidR="00756F2C" w:rsidRPr="00756F2C" w:rsidRDefault="00756F2C" w:rsidP="00E6464E">
      <w:pPr>
        <w:pStyle w:val="af3"/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По направлению «Жилищно-коммунальное хозяйство»:</w:t>
      </w:r>
    </w:p>
    <w:p w:rsidR="00756F2C" w:rsidRPr="00756F2C" w:rsidRDefault="00756F2C" w:rsidP="00756F2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1. Уровень возмещения тарифам</w:t>
      </w:r>
      <w:r w:rsidR="002F25CC">
        <w:rPr>
          <w:rFonts w:ascii="Times New Roman" w:hAnsi="Times New Roman"/>
          <w:sz w:val="28"/>
          <w:szCs w:val="28"/>
        </w:rPr>
        <w:t xml:space="preserve">и себестоимости жилищных услуг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>за 9 месяцев 2024 года составляет 91%, ожидаемый показатель за 2024 год - 90%, прогноз на 2025 год – 90% базовый вариант, 68,2% – консервативный.</w:t>
      </w:r>
    </w:p>
    <w:p w:rsidR="00756F2C" w:rsidRPr="00756F2C" w:rsidRDefault="00756F2C" w:rsidP="00756F2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2. Уровень оснащения жилых домов приборами учета и регулирования потребления энергоносителей составляет 378 единиц, базовый и консервативный прогноз на 2025 год – 378 единиц.</w:t>
      </w:r>
    </w:p>
    <w:p w:rsidR="00756F2C" w:rsidRPr="00756F2C" w:rsidRDefault="00756F2C" w:rsidP="00756F2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3. Протяженность улично-дорожной сети с твердым покрытием составляет 442 км, базовый и консервативный прогноз на 2025 год – 442 км,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56F2C">
        <w:rPr>
          <w:rFonts w:ascii="Times New Roman" w:hAnsi="Times New Roman"/>
          <w:sz w:val="28"/>
          <w:szCs w:val="28"/>
        </w:rPr>
        <w:t>т.ч</w:t>
      </w:r>
      <w:proofErr w:type="spellEnd"/>
      <w:r w:rsidRPr="00756F2C">
        <w:rPr>
          <w:rFonts w:ascii="Times New Roman" w:hAnsi="Times New Roman"/>
          <w:sz w:val="28"/>
          <w:szCs w:val="28"/>
        </w:rPr>
        <w:t>. внутриквартальных дорог, требующих капитального ремонта – 52 км.</w:t>
      </w:r>
    </w:p>
    <w:p w:rsidR="00756F2C" w:rsidRPr="00756F2C" w:rsidRDefault="00756F2C" w:rsidP="00756F2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4. Площадь внутригородских дорог, требующих капитального ремонта составляет 402,206 тыс. м², базовый и консервативный прогноз на 2025 год – 402,206 тыс. м².</w:t>
      </w:r>
    </w:p>
    <w:p w:rsidR="00756F2C" w:rsidRPr="00756F2C" w:rsidRDefault="00756F2C" w:rsidP="00756F2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5. Протяженность внутригородских дорог, требующих текущего ремонта – 397,8 км, базовый и консервативный прогноз на 2025 год – 380,0 км.</w:t>
      </w:r>
    </w:p>
    <w:p w:rsidR="00756F2C" w:rsidRPr="00756F2C" w:rsidRDefault="00756F2C" w:rsidP="00756F2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6. Площадь внутригородских дорог, требующих текущего ремонта по состоянию на 01.10.2024 составляет 2 430,0 тыс. м², на 01.01.2025 ожидается 2 321,267 тыс. м², базовый и консервативный прогноз на 2025 год –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>2 321,267 тыс.м².</w:t>
      </w:r>
    </w:p>
    <w:p w:rsidR="00756F2C" w:rsidRPr="00756F2C" w:rsidRDefault="00756F2C" w:rsidP="00756F2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7. Протяженность сетей наружного освещения 146,59 км, базовый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 xml:space="preserve">и консервативный прогноз на 2025 год – 146,59 км, в </w:t>
      </w:r>
      <w:proofErr w:type="spellStart"/>
      <w:r w:rsidRPr="00756F2C">
        <w:rPr>
          <w:rFonts w:ascii="Times New Roman" w:hAnsi="Times New Roman"/>
          <w:sz w:val="28"/>
          <w:szCs w:val="28"/>
        </w:rPr>
        <w:t>т.ч</w:t>
      </w:r>
      <w:proofErr w:type="spellEnd"/>
      <w:r w:rsidRPr="00756F2C">
        <w:rPr>
          <w:rFonts w:ascii="Times New Roman" w:hAnsi="Times New Roman"/>
          <w:sz w:val="28"/>
          <w:szCs w:val="28"/>
        </w:rPr>
        <w:t xml:space="preserve">. нуждающихся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>в восстановлении (ремонте) по состоянию на 01.10.2024 – 23,836 км, прогноз на 2025 год – 23,836 км, базовый и консервативный прогноз на 2025 год – 36,0 км.</w:t>
      </w:r>
    </w:p>
    <w:p w:rsidR="00756F2C" w:rsidRPr="00756F2C" w:rsidRDefault="00756F2C" w:rsidP="00756F2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8. Количество </w:t>
      </w:r>
      <w:proofErr w:type="spellStart"/>
      <w:r w:rsidRPr="00756F2C">
        <w:rPr>
          <w:rFonts w:ascii="Times New Roman" w:hAnsi="Times New Roman"/>
          <w:sz w:val="28"/>
          <w:szCs w:val="28"/>
        </w:rPr>
        <w:t>светоточек</w:t>
      </w:r>
      <w:proofErr w:type="spellEnd"/>
      <w:r w:rsidRPr="00756F2C">
        <w:rPr>
          <w:rFonts w:ascii="Times New Roman" w:hAnsi="Times New Roman"/>
          <w:sz w:val="28"/>
          <w:szCs w:val="28"/>
        </w:rPr>
        <w:t xml:space="preserve"> составляет 4 329 единиц, базовый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 xml:space="preserve">и консервативный прогноз на 2025 год – 4 329 единиц, в </w:t>
      </w:r>
      <w:proofErr w:type="spellStart"/>
      <w:r w:rsidRPr="00756F2C">
        <w:rPr>
          <w:rFonts w:ascii="Times New Roman" w:hAnsi="Times New Roman"/>
          <w:sz w:val="28"/>
          <w:szCs w:val="28"/>
        </w:rPr>
        <w:t>т.ч</w:t>
      </w:r>
      <w:proofErr w:type="spellEnd"/>
      <w:r w:rsidRPr="00756F2C">
        <w:rPr>
          <w:rFonts w:ascii="Times New Roman" w:hAnsi="Times New Roman"/>
          <w:sz w:val="28"/>
          <w:szCs w:val="28"/>
        </w:rPr>
        <w:t xml:space="preserve">. нуждающихся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 xml:space="preserve">в замене по состоянию на 01.10.2024 – 789 единиц, на 01.01.2025 ожидается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>789 единиц, базовый и консервативный прогноз на 2025 год – 1 000 единиц.</w:t>
      </w:r>
    </w:p>
    <w:p w:rsidR="00756F2C" w:rsidRPr="00756F2C" w:rsidRDefault="00756F2C" w:rsidP="00756F2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9. Приобретение спецтехники по состоянию на 01.10.2024 –  84 единицы, на 01.01.2025 ожидается потребность – 84 единицы, базовый и консервативный прогноз на 2025 год – 84 единицы.</w:t>
      </w:r>
    </w:p>
    <w:p w:rsidR="00756F2C" w:rsidRPr="00756F2C" w:rsidRDefault="00756F2C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lastRenderedPageBreak/>
        <w:t>По направлению «Дорожно-транспортный комплекс»:</w:t>
      </w:r>
    </w:p>
    <w:p w:rsidR="00756F2C" w:rsidRPr="00756F2C" w:rsidRDefault="00756F2C" w:rsidP="00756F2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1. Выполнено работ по текущему ремонту автодорог за 9 месяцев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 xml:space="preserve">2024 года – 32 414,50 м², прогноз по состоянию на 01.01.2025 – 61 195,55 м², базовый вариант на 2025 год – 158 847,255 м², консервативный вариант </w:t>
      </w:r>
      <w:r w:rsidR="002F25CC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>на 2025 год – 100 000,0 м².</w:t>
      </w:r>
    </w:p>
    <w:p w:rsidR="00756F2C" w:rsidRPr="00756F2C" w:rsidRDefault="00756F2C" w:rsidP="00756F2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2. За 9 месяцев 2024 года оказано услуг по содержанию автомобильных дорог города на сумму 59 959,41 млн рублей, прогноз на 01.01.2025 – </w:t>
      </w:r>
      <w:r w:rsidR="00AB46E7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>127 862,58 млн рублей, базовый и консервативный прогноз на 2025 год – 160 412,03 млн рублей.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F2C" w:rsidRPr="00756F2C" w:rsidRDefault="00756F2C" w:rsidP="00756F2C">
      <w:pPr>
        <w:pStyle w:val="af9"/>
        <w:widowControl w:val="0"/>
        <w:spacing w:line="259" w:lineRule="auto"/>
        <w:ind w:firstLine="0"/>
        <w:jc w:val="center"/>
        <w:rPr>
          <w:b/>
          <w:szCs w:val="28"/>
        </w:rPr>
      </w:pPr>
      <w:r w:rsidRPr="00756F2C">
        <w:rPr>
          <w:b/>
          <w:szCs w:val="28"/>
        </w:rPr>
        <w:t>Трудовые ресурсы</w:t>
      </w:r>
    </w:p>
    <w:p w:rsidR="00756F2C" w:rsidRPr="00756F2C" w:rsidRDefault="00756F2C" w:rsidP="00756F2C">
      <w:pPr>
        <w:pStyle w:val="af9"/>
        <w:widowControl w:val="0"/>
        <w:spacing w:line="259" w:lineRule="auto"/>
        <w:ind w:firstLine="0"/>
        <w:jc w:val="center"/>
        <w:rPr>
          <w:b/>
          <w:i/>
          <w:szCs w:val="28"/>
        </w:rPr>
      </w:pPr>
    </w:p>
    <w:p w:rsidR="00756F2C" w:rsidRPr="00756F2C" w:rsidRDefault="00756F2C" w:rsidP="00756F2C">
      <w:pPr>
        <w:pStyle w:val="af9"/>
        <w:widowControl w:val="0"/>
        <w:spacing w:line="259" w:lineRule="auto"/>
        <w:ind w:firstLine="709"/>
        <w:rPr>
          <w:szCs w:val="28"/>
          <w:lang w:val="ru-RU"/>
        </w:rPr>
      </w:pPr>
      <w:r w:rsidRPr="00756F2C">
        <w:rPr>
          <w:szCs w:val="28"/>
          <w:lang w:val="ru-RU"/>
        </w:rPr>
        <w:t>На развитие сферы занятости в прогнозном периоде будет оказывать влияние развитие экономической ситуации в городе, демографические факторы, потребность работодателей в рабочей силе, а также эффективность реализации мер по регулированию ситуации на рынке труда.</w:t>
      </w:r>
    </w:p>
    <w:p w:rsidR="00756F2C" w:rsidRPr="00756F2C" w:rsidRDefault="00756F2C" w:rsidP="00756F2C">
      <w:pPr>
        <w:pStyle w:val="af9"/>
        <w:widowControl w:val="0"/>
        <w:spacing w:line="259" w:lineRule="auto"/>
        <w:ind w:firstLine="709"/>
        <w:rPr>
          <w:szCs w:val="28"/>
          <w:lang w:val="ru-RU"/>
        </w:rPr>
      </w:pPr>
      <w:r w:rsidRPr="00756F2C">
        <w:rPr>
          <w:szCs w:val="28"/>
          <w:lang w:val="ru-RU"/>
        </w:rPr>
        <w:t xml:space="preserve">Основное влияние на стабилизацию ситуации на рынке труда, снижение объема миграционного оттока населения и привлечения в экономику города квалифицированных специалистов различных специальностей и профессий оказывает реализация мер и достижение целей проводимой специальной военной операции. </w:t>
      </w:r>
    </w:p>
    <w:p w:rsidR="00756F2C" w:rsidRPr="00756F2C" w:rsidRDefault="00756F2C" w:rsidP="00756F2C">
      <w:pPr>
        <w:pStyle w:val="af9"/>
        <w:widowControl w:val="0"/>
        <w:spacing w:line="259" w:lineRule="auto"/>
        <w:ind w:firstLine="709"/>
        <w:rPr>
          <w:szCs w:val="28"/>
          <w:lang w:val="ru-RU"/>
        </w:rPr>
      </w:pPr>
      <w:r w:rsidRPr="00756F2C">
        <w:rPr>
          <w:szCs w:val="28"/>
          <w:lang w:val="ru-RU"/>
        </w:rPr>
        <w:t>За 9 месяцев 2024 года в ГБУ «</w:t>
      </w:r>
      <w:proofErr w:type="spellStart"/>
      <w:r w:rsidRPr="00756F2C">
        <w:rPr>
          <w:szCs w:val="28"/>
          <w:lang w:val="ru-RU"/>
        </w:rPr>
        <w:t>Горловский</w:t>
      </w:r>
      <w:proofErr w:type="spellEnd"/>
      <w:r w:rsidRPr="00756F2C">
        <w:rPr>
          <w:szCs w:val="28"/>
          <w:lang w:val="ru-RU"/>
        </w:rPr>
        <w:t xml:space="preserve"> центр занятости» </w:t>
      </w:r>
      <w:r w:rsidRPr="00756F2C">
        <w:rPr>
          <w:szCs w:val="28"/>
          <w:lang w:val="ru-RU"/>
        </w:rPr>
        <w:br/>
        <w:t xml:space="preserve">на  регистрационном учете в целях поиска подходящей работы состояло </w:t>
      </w:r>
      <w:r w:rsidRPr="00756F2C">
        <w:rPr>
          <w:szCs w:val="28"/>
          <w:lang w:val="ru-RU"/>
        </w:rPr>
        <w:br/>
        <w:t>634 человека. Трудоустроено – 521 человек. Доля трудоустроенных граждан составила 82,17 %. Численность зарегистрированных безработных за этот период составила – 2 человека.</w:t>
      </w:r>
    </w:p>
    <w:p w:rsidR="00756F2C" w:rsidRPr="00756F2C" w:rsidRDefault="00756F2C" w:rsidP="00756F2C">
      <w:pPr>
        <w:pStyle w:val="af9"/>
        <w:widowControl w:val="0"/>
        <w:spacing w:line="259" w:lineRule="auto"/>
        <w:ind w:firstLine="709"/>
        <w:rPr>
          <w:szCs w:val="28"/>
          <w:lang w:val="ru-RU"/>
        </w:rPr>
      </w:pPr>
      <w:r w:rsidRPr="00756F2C">
        <w:rPr>
          <w:szCs w:val="28"/>
          <w:lang w:val="ru-RU"/>
        </w:rPr>
        <w:t xml:space="preserve">В рамках Федерального проекта «Содействие занятости» Национального проекта «Демография» проведена работа по информированию о возможности бесплатного обучения, в том числе без отрыва от производства. За 9 месяцев </w:t>
      </w:r>
      <w:r w:rsidRPr="00756F2C">
        <w:rPr>
          <w:szCs w:val="28"/>
          <w:lang w:val="ru-RU"/>
        </w:rPr>
        <w:br/>
        <w:t>2024 года 5 человек успешно завершили обучение, 12 человек проходят обучение, 11 человек ожидают начала обучения.</w:t>
      </w:r>
    </w:p>
    <w:p w:rsidR="00756F2C" w:rsidRPr="00756F2C" w:rsidRDefault="00756F2C" w:rsidP="00756F2C">
      <w:pPr>
        <w:pStyle w:val="af9"/>
        <w:widowControl w:val="0"/>
        <w:spacing w:line="259" w:lineRule="auto"/>
        <w:ind w:firstLine="709"/>
        <w:rPr>
          <w:szCs w:val="28"/>
          <w:lang w:val="ru-RU"/>
        </w:rPr>
      </w:pPr>
      <w:r w:rsidRPr="00756F2C">
        <w:rPr>
          <w:szCs w:val="28"/>
          <w:lang w:val="ru-RU"/>
        </w:rPr>
        <w:t xml:space="preserve">За период с января по сентябрь 2024 года центром занятости были организованы и проведены 2 этапа Всероссийской ярмарки трудоустройства «Работа России. Время возможностей» 9в онлайн формате). Приняли участие </w:t>
      </w:r>
      <w:r w:rsidR="00AB46E7">
        <w:rPr>
          <w:szCs w:val="28"/>
          <w:lang w:val="ru-RU"/>
        </w:rPr>
        <w:br/>
      </w:r>
      <w:r w:rsidRPr="00756F2C">
        <w:rPr>
          <w:szCs w:val="28"/>
          <w:lang w:val="ru-RU"/>
        </w:rPr>
        <w:t xml:space="preserve">28 предприятий, организаций и учреждений города и 574 участника – соискателя. Численность трудоустроенных граждан по результатам ярмарки составила </w:t>
      </w:r>
      <w:r w:rsidR="00AB46E7">
        <w:rPr>
          <w:szCs w:val="28"/>
          <w:lang w:val="ru-RU"/>
        </w:rPr>
        <w:br/>
      </w:r>
      <w:r w:rsidRPr="00756F2C">
        <w:rPr>
          <w:szCs w:val="28"/>
          <w:lang w:val="ru-RU"/>
        </w:rPr>
        <w:t xml:space="preserve">10 человек. Во Всероссийской ярмарке трудоустройства приняли участие </w:t>
      </w:r>
      <w:r w:rsidR="00AB46E7">
        <w:rPr>
          <w:szCs w:val="28"/>
          <w:lang w:val="ru-RU"/>
        </w:rPr>
        <w:br/>
      </w:r>
      <w:r w:rsidRPr="00756F2C">
        <w:rPr>
          <w:szCs w:val="28"/>
          <w:lang w:val="ru-RU"/>
        </w:rPr>
        <w:t xml:space="preserve">9 учебных заведений и более 60 студентов СПО и ВО, а также учащиеся выпускных классов. </w:t>
      </w:r>
    </w:p>
    <w:p w:rsidR="00756F2C" w:rsidRDefault="00756F2C" w:rsidP="00756F2C">
      <w:pPr>
        <w:pStyle w:val="af9"/>
        <w:widowControl w:val="0"/>
        <w:spacing w:line="259" w:lineRule="auto"/>
        <w:ind w:firstLine="709"/>
        <w:rPr>
          <w:szCs w:val="28"/>
          <w:lang w:val="ru-RU"/>
        </w:rPr>
      </w:pPr>
    </w:p>
    <w:p w:rsidR="00AB46E7" w:rsidRPr="00756F2C" w:rsidRDefault="00AB46E7" w:rsidP="00756F2C">
      <w:pPr>
        <w:pStyle w:val="af9"/>
        <w:widowControl w:val="0"/>
        <w:spacing w:line="259" w:lineRule="auto"/>
        <w:ind w:firstLine="709"/>
        <w:rPr>
          <w:szCs w:val="28"/>
          <w:lang w:val="ru-RU"/>
        </w:rPr>
      </w:pPr>
    </w:p>
    <w:p w:rsidR="00756F2C" w:rsidRPr="00756F2C" w:rsidRDefault="00756F2C" w:rsidP="00756F2C">
      <w:pPr>
        <w:pStyle w:val="af9"/>
        <w:widowControl w:val="0"/>
        <w:spacing w:line="259" w:lineRule="auto"/>
        <w:ind w:firstLine="0"/>
        <w:jc w:val="center"/>
        <w:rPr>
          <w:b/>
          <w:szCs w:val="28"/>
        </w:rPr>
      </w:pPr>
      <w:r w:rsidRPr="00756F2C">
        <w:rPr>
          <w:b/>
          <w:szCs w:val="28"/>
        </w:rPr>
        <w:lastRenderedPageBreak/>
        <w:t>Уровень жизни населения</w:t>
      </w:r>
    </w:p>
    <w:p w:rsidR="00756F2C" w:rsidRPr="00756F2C" w:rsidRDefault="00756F2C" w:rsidP="00756F2C">
      <w:pPr>
        <w:pStyle w:val="af9"/>
        <w:widowControl w:val="0"/>
        <w:spacing w:line="259" w:lineRule="auto"/>
        <w:ind w:firstLine="709"/>
        <w:jc w:val="center"/>
        <w:rPr>
          <w:b/>
          <w:szCs w:val="28"/>
        </w:rPr>
      </w:pPr>
    </w:p>
    <w:p w:rsidR="00756F2C" w:rsidRPr="00756F2C" w:rsidRDefault="00756F2C" w:rsidP="00756F2C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Стабильность уровня жизни населения обеспечивается, прежде всего, перспективами развития экономики, емкостью рынка труда, уровнем заработной платы и мерами социальной поддержки.</w:t>
      </w:r>
    </w:p>
    <w:p w:rsidR="00756F2C" w:rsidRPr="00756F2C" w:rsidRDefault="00756F2C" w:rsidP="00756F2C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Среднемесячная начисленная заработная плата работников за январь – июль 2024 года составила 45 845,0 рублей. Ожидаемый показатель за 2024 год составит 45 910,40 рублей. </w:t>
      </w:r>
      <w:r w:rsidRPr="00756F2C">
        <w:rPr>
          <w:rFonts w:ascii="Times New Roman" w:hAnsi="Times New Roman"/>
          <w:bCs/>
          <w:sz w:val="28"/>
          <w:szCs w:val="28"/>
        </w:rPr>
        <w:t>В прогнозируемом периоде планируется постепенный рост заработной платы. Ожидается, что в 2025 году среднемесячная начисленная заработная плата составит 49 017,10</w:t>
      </w:r>
      <w:r w:rsidRPr="00756F2C">
        <w:rPr>
          <w:rFonts w:ascii="Times New Roman" w:hAnsi="Times New Roman"/>
          <w:sz w:val="28"/>
          <w:szCs w:val="28"/>
        </w:rPr>
        <w:t xml:space="preserve"> рублей при базовом сценарии развития и 48 238,40 рублей при консервативном. </w:t>
      </w:r>
    </w:p>
    <w:p w:rsidR="00756F2C" w:rsidRPr="00756F2C" w:rsidRDefault="00756F2C" w:rsidP="00756F2C">
      <w:pPr>
        <w:widowControl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В сфере оплаты труда главным остается повышение заработной платы и ее опережающий рост по сравнению с ростом потребительских цен. 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Муниципальные образования не только сохраняют, но и продолжают концентрировать экономический, демографический, финансовый, интеллектуальный, культурный потенциал общества. Муниципальные образования являются двигателями экономического роста и развития своих регионов. Конкурентоспособность муниципального образования становится основной концепцией, определяющей его стратегические направления развития. 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>Будущее за технологическими инновациями, увеличивающими производительность труда, хорошо образованными профессиональными кадрами, глобально интегрированной инфраструктурой и предпринимательской активностью.</w:t>
      </w:r>
    </w:p>
    <w:p w:rsidR="00756F2C" w:rsidRPr="00756F2C" w:rsidRDefault="00756F2C" w:rsidP="00756F2C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2C">
        <w:rPr>
          <w:rFonts w:ascii="Times New Roman" w:hAnsi="Times New Roman"/>
          <w:sz w:val="28"/>
          <w:szCs w:val="28"/>
        </w:rPr>
        <w:t xml:space="preserve"> Непрерывное и постоянное развитие и совершенствование муниципального образования является выходом местного самоуправления на новый качественный уровень. Прежде всего, улучшится общая атмосфера </w:t>
      </w:r>
      <w:r w:rsidR="00AB46E7">
        <w:rPr>
          <w:rFonts w:ascii="Times New Roman" w:hAnsi="Times New Roman"/>
          <w:sz w:val="28"/>
          <w:szCs w:val="28"/>
        </w:rPr>
        <w:br/>
      </w:r>
      <w:r w:rsidRPr="00756F2C">
        <w:rPr>
          <w:rFonts w:ascii="Times New Roman" w:hAnsi="Times New Roman"/>
          <w:sz w:val="28"/>
          <w:szCs w:val="28"/>
        </w:rPr>
        <w:t>в городе, повысится качество окружающей среды, возрастет уровень конкурентоспособности и благосостояния территории муниципального образования.</w:t>
      </w:r>
    </w:p>
    <w:p w:rsidR="004C1EC0" w:rsidRDefault="004C1EC0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5537D8" w:rsidRDefault="005537D8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5537D8" w:rsidRDefault="005537D8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5537D8" w:rsidRDefault="005537D8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5537D8" w:rsidRDefault="005537D8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5537D8" w:rsidRDefault="005537D8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5537D8" w:rsidRDefault="005537D8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5537D8" w:rsidRDefault="005537D8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5537D8" w:rsidRDefault="005537D8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5537D8" w:rsidRDefault="005537D8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5537D8" w:rsidRDefault="005537D8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E01435" w:rsidRDefault="00E01435" w:rsidP="00E01435">
      <w:pPr>
        <w:pStyle w:val="af3"/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E01435">
        <w:rPr>
          <w:rFonts w:ascii="Times New Roman" w:hAnsi="Times New Roman"/>
          <w:sz w:val="28"/>
          <w:szCs w:val="28"/>
        </w:rPr>
        <w:lastRenderedPageBreak/>
        <w:t>Основные показатели социально-экономического развития городского округа Горловка</w:t>
      </w:r>
    </w:p>
    <w:p w:rsidR="00E01435" w:rsidRDefault="00E01435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240"/>
        <w:gridCol w:w="1170"/>
        <w:gridCol w:w="1134"/>
        <w:gridCol w:w="1134"/>
      </w:tblGrid>
      <w:tr w:rsidR="00E01435" w:rsidRPr="00CD5721" w:rsidTr="00CD5721">
        <w:trPr>
          <w:trHeight w:val="375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Единицы измерения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9 месяцев    2024 года  (на 01.10.2024)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2024 год ожидаемое (на 01.01.2025)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2025 год (прогноз)</w:t>
            </w:r>
          </w:p>
        </w:tc>
      </w:tr>
      <w:tr w:rsidR="00E01435" w:rsidRPr="00CD5721" w:rsidTr="00CD5721">
        <w:trPr>
          <w:trHeight w:val="930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I вариант (базовый)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II вариант (консервативный)</w:t>
            </w:r>
          </w:p>
        </w:tc>
      </w:tr>
      <w:tr w:rsidR="00E01435" w:rsidRPr="00CD5721" w:rsidTr="00CD5721">
        <w:trPr>
          <w:trHeight w:val="283"/>
          <w:tblHeader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1435" w:rsidRPr="00CD5721" w:rsidTr="00E01435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b/>
                <w:bCs/>
                <w:lang w:eastAsia="ru-RU"/>
              </w:rPr>
              <w:t>1. Демографические 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01435" w:rsidRPr="00CD5721" w:rsidTr="00E01435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тыс.чел</w:t>
            </w:r>
            <w:proofErr w:type="spellEnd"/>
            <w:r w:rsidRPr="00CD572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318,90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319,20</w:t>
            </w:r>
          </w:p>
        </w:tc>
      </w:tr>
      <w:tr w:rsidR="00E01435" w:rsidRPr="00CD5721" w:rsidTr="00E0143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Количество родившихся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335</w:t>
            </w:r>
          </w:p>
        </w:tc>
      </w:tr>
      <w:tr w:rsidR="00E01435" w:rsidRPr="00CD5721" w:rsidTr="00E0143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Количество умерших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4292</w:t>
            </w:r>
          </w:p>
        </w:tc>
      </w:tr>
      <w:tr w:rsidR="00E01435" w:rsidRPr="00CD5721" w:rsidTr="00E01435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b/>
                <w:bCs/>
                <w:lang w:eastAsia="ru-RU"/>
              </w:rPr>
              <w:t>2. Экономический потенциал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01435" w:rsidRPr="00CD5721" w:rsidTr="00E0143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млн.руб</w:t>
            </w:r>
            <w:proofErr w:type="spellEnd"/>
            <w:r w:rsidRPr="00CD572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2845,38 (январь-август)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4268,07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4353,43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4285,14</w:t>
            </w:r>
          </w:p>
        </w:tc>
      </w:tr>
      <w:tr w:rsidR="00E01435" w:rsidRPr="00CD5721" w:rsidTr="00E0143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млн.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873,53 (январь-июнь)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1547,06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1579,55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1556,34</w:t>
            </w:r>
          </w:p>
        </w:tc>
      </w:tr>
      <w:tr w:rsidR="00E01435" w:rsidRPr="00CD5721" w:rsidTr="00E01435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22050,3 (январь-август)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33075,45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33770,03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33273,90</w:t>
            </w:r>
          </w:p>
        </w:tc>
      </w:tr>
      <w:tr w:rsidR="00E01435" w:rsidRPr="00CD5721" w:rsidTr="00E01435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b/>
                <w:bCs/>
                <w:lang w:eastAsia="ru-RU"/>
              </w:rPr>
              <w:t>3. Потребительский рынок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01435" w:rsidRPr="00CD5721" w:rsidTr="00E0143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Индекс потребительских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107,30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104,50</w:t>
            </w:r>
          </w:p>
        </w:tc>
      </w:tr>
      <w:tr w:rsidR="00E01435" w:rsidRPr="00CD5721" w:rsidTr="00E0143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 xml:space="preserve">Объем розничного </w:t>
            </w:r>
            <w:r w:rsidRPr="00CD5721">
              <w:rPr>
                <w:rFonts w:ascii="Times New Roman" w:eastAsia="Times New Roman" w:hAnsi="Times New Roman"/>
                <w:b/>
                <w:bCs/>
                <w:lang w:eastAsia="ru-RU"/>
              </w:rPr>
              <w:t>товарооборота</w:t>
            </w:r>
            <w:r w:rsidRPr="00CD5721">
              <w:rPr>
                <w:rFonts w:ascii="Times New Roman" w:eastAsia="Times New Roman" w:hAnsi="Times New Roman"/>
                <w:lang w:eastAsia="ru-RU"/>
              </w:rPr>
              <w:t xml:space="preserve"> предприятий (юридических лиц), осуществляющих деятельность по розничной торговле и ресторанному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млн.руб</w:t>
            </w:r>
            <w:proofErr w:type="spellEnd"/>
            <w:r w:rsidRPr="00CD572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6778,00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9500,00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10222,00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10070,00</w:t>
            </w:r>
          </w:p>
        </w:tc>
      </w:tr>
      <w:tr w:rsidR="00E01435" w:rsidRPr="00CD5721" w:rsidTr="00E01435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Количество объектов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1398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1400</w:t>
            </w:r>
          </w:p>
        </w:tc>
      </w:tr>
      <w:tr w:rsidR="00E01435" w:rsidRPr="00CD5721" w:rsidTr="00E01435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Количество объектов ресторанного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</w:tr>
      <w:tr w:rsidR="00E01435" w:rsidRPr="00CD5721" w:rsidTr="00E01435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Количество предприятий бытового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332</w:t>
            </w:r>
          </w:p>
        </w:tc>
      </w:tr>
      <w:tr w:rsidR="00E01435" w:rsidRPr="00CD5721" w:rsidTr="00E01435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Объем реализованных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млн.руб</w:t>
            </w:r>
            <w:proofErr w:type="spellEnd"/>
            <w:r w:rsidRPr="00CD572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210,00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262,00</w:t>
            </w:r>
          </w:p>
        </w:tc>
      </w:tr>
      <w:tr w:rsidR="00E01435" w:rsidRPr="00CD5721" w:rsidTr="00E0143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7702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7715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7726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7710</w:t>
            </w:r>
          </w:p>
        </w:tc>
      </w:tr>
      <w:tr w:rsidR="00E01435" w:rsidRPr="00CD5721" w:rsidTr="00E01435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b/>
                <w:bCs/>
                <w:lang w:eastAsia="ru-RU"/>
              </w:rPr>
              <w:t>4. Труд и занятость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01435" w:rsidRPr="00CD5721" w:rsidTr="00E01435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Среднемесячная начисленная заработная плата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45845,0 (январь-июль)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45910,40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49017,10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48238,40</w:t>
            </w:r>
          </w:p>
        </w:tc>
      </w:tr>
      <w:tr w:rsidR="00E01435" w:rsidRPr="00CD5721" w:rsidTr="00E01435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Численность лиц, ищущих работу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тыс.чел</w:t>
            </w:r>
            <w:proofErr w:type="spellEnd"/>
            <w:r w:rsidRPr="00CD572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0,634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0,828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0,955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1,020</w:t>
            </w:r>
          </w:p>
        </w:tc>
      </w:tr>
      <w:tr w:rsidR="00E01435" w:rsidRPr="00CD5721" w:rsidTr="00E01435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lastRenderedPageBreak/>
              <w:t>Количество вакансий, заявленных работодателями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2579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2423</w:t>
            </w:r>
          </w:p>
        </w:tc>
      </w:tr>
      <w:tr w:rsidR="00E01435" w:rsidRPr="00CD5721" w:rsidTr="00E01435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Трудоустроено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тыс.чел</w:t>
            </w:r>
            <w:proofErr w:type="spellEnd"/>
            <w:r w:rsidRPr="00CD572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0,521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0,685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0,790</w:t>
            </w:r>
          </w:p>
        </w:tc>
      </w:tr>
      <w:tr w:rsidR="00E01435" w:rsidRPr="00CD5721" w:rsidTr="00E0143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Сумма невыплаченной заработной платы, начисленной после регистрации в ДНР экономически активных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203819,00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203807,71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182054,93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198560,50</w:t>
            </w:r>
          </w:p>
        </w:tc>
      </w:tr>
      <w:tr w:rsidR="00E01435" w:rsidRPr="00CD5721" w:rsidTr="00E0143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b/>
                <w:bCs/>
                <w:lang w:eastAsia="ru-RU"/>
              </w:rPr>
              <w:t>5. Социальная 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01435" w:rsidRPr="00CD5721" w:rsidTr="00E01435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Количество получателей пенсий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63144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63144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67564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65537</w:t>
            </w:r>
          </w:p>
        </w:tc>
      </w:tr>
      <w:tr w:rsidR="00E01435" w:rsidRPr="00CD5721" w:rsidTr="00E01435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Среднемесячный размер выплаты на одного пенсионера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17660,00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17836,60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19138,70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19138,70</w:t>
            </w:r>
          </w:p>
        </w:tc>
      </w:tr>
      <w:tr w:rsidR="00E01435" w:rsidRPr="00CD5721" w:rsidTr="00E01435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Количество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</w:tr>
      <w:tr w:rsidR="00E01435" w:rsidRPr="00CD5721" w:rsidTr="00E0143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в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01435" w:rsidRPr="00CD5721" w:rsidTr="00E01435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5735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5735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5625</w:t>
            </w:r>
          </w:p>
        </w:tc>
      </w:tr>
      <w:tr w:rsidR="00E01435" w:rsidRPr="00CD5721" w:rsidTr="00E0143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3090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3100</w:t>
            </w:r>
          </w:p>
        </w:tc>
      </w:tr>
      <w:tr w:rsidR="00E01435" w:rsidRPr="00CD5721" w:rsidTr="00E01435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 xml:space="preserve">Количество общеобразовательных школ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E01435" w:rsidRPr="00CD5721" w:rsidTr="00E0143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в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01435" w:rsidRPr="00CD5721" w:rsidTr="00E01435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ученических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18396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18396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17571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17571</w:t>
            </w:r>
          </w:p>
        </w:tc>
      </w:tr>
      <w:tr w:rsidR="00E01435" w:rsidRPr="00CD5721" w:rsidTr="00E0143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учеников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8887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8887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9331</w:t>
            </w:r>
          </w:p>
        </w:tc>
      </w:tr>
      <w:tr w:rsidR="00E01435" w:rsidRPr="00CD5721" w:rsidTr="00E01435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Наличие школьных автобусов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1435" w:rsidRPr="00CD5721" w:rsidTr="00E01435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Наличие компьютеров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2204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2300</w:t>
            </w:r>
          </w:p>
        </w:tc>
      </w:tr>
      <w:tr w:rsidR="00E01435" w:rsidRPr="00CD5721" w:rsidTr="00E01435">
        <w:trPr>
          <w:trHeight w:val="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01435" w:rsidRPr="00CD5721" w:rsidTr="00E0143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b/>
                <w:bCs/>
                <w:lang w:eastAsia="ru-RU"/>
              </w:rPr>
              <w:t>6.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01435" w:rsidRPr="00CD5721" w:rsidTr="00E0143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Уровень возмещения тарифами себестоимости жилищных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91,00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68,20</w:t>
            </w:r>
          </w:p>
        </w:tc>
      </w:tr>
      <w:tr w:rsidR="00E01435" w:rsidRPr="00CD5721" w:rsidTr="00E0143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Уровень оснащение жилых домов приборами учета и регулирования потребления энергоносителей (домовой учет)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378</w:t>
            </w:r>
          </w:p>
        </w:tc>
      </w:tr>
      <w:tr w:rsidR="00E01435" w:rsidRPr="00CD5721" w:rsidTr="00E0143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Протяженность улично-дорожной сети с твердым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442,00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442,00</w:t>
            </w:r>
          </w:p>
        </w:tc>
      </w:tr>
      <w:tr w:rsidR="00E01435" w:rsidRPr="00CD5721" w:rsidTr="00E01435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CD5721">
              <w:rPr>
                <w:rFonts w:ascii="Times New Roman" w:eastAsia="Times New Roman" w:hAnsi="Times New Roman"/>
                <w:lang w:eastAsia="ru-RU"/>
              </w:rPr>
              <w:t>. внутриквартальных дорог, требующих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52,00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52,00</w:t>
            </w:r>
          </w:p>
        </w:tc>
      </w:tr>
      <w:tr w:rsidR="00E01435" w:rsidRPr="00CD5721" w:rsidTr="00E0143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Площадь внутригородских дорог требующих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тыс.кв.м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402,21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402,21</w:t>
            </w:r>
          </w:p>
        </w:tc>
      </w:tr>
      <w:tr w:rsidR="00E01435" w:rsidRPr="00CD5721" w:rsidTr="00E0143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Протяженность внутригородских дорог, требующих текущего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397,80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397,74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379,84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379,90</w:t>
            </w:r>
          </w:p>
        </w:tc>
      </w:tr>
      <w:tr w:rsidR="00E01435" w:rsidRPr="00CD5721" w:rsidTr="00E0143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lastRenderedPageBreak/>
              <w:t>Площадь внутригородских дорог, требующих текущего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тыс.кв.м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2430,00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2368,80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2162,42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2221,27</w:t>
            </w:r>
          </w:p>
        </w:tc>
      </w:tr>
      <w:tr w:rsidR="00E01435" w:rsidRPr="00CD5721" w:rsidTr="00E0143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146,59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146,59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146,59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146,59</w:t>
            </w:r>
          </w:p>
        </w:tc>
      </w:tr>
      <w:tr w:rsidR="00E01435" w:rsidRPr="00CD5721" w:rsidTr="00E0143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CD5721">
              <w:rPr>
                <w:rFonts w:ascii="Times New Roman" w:eastAsia="Times New Roman" w:hAnsi="Times New Roman"/>
                <w:lang w:eastAsia="ru-RU"/>
              </w:rPr>
              <w:t>. нуждающихся в восстановлении (ремонте)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23,84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36,00</w:t>
            </w:r>
          </w:p>
        </w:tc>
      </w:tr>
      <w:tr w:rsidR="00E01435" w:rsidRPr="00CD5721" w:rsidTr="00E01435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светоточек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4329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4329</w:t>
            </w:r>
          </w:p>
        </w:tc>
      </w:tr>
      <w:tr w:rsidR="00E01435" w:rsidRPr="00CD5721" w:rsidTr="00E01435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CD5721">
              <w:rPr>
                <w:rFonts w:ascii="Times New Roman" w:eastAsia="Times New Roman" w:hAnsi="Times New Roman"/>
                <w:lang w:eastAsia="ru-RU"/>
              </w:rPr>
              <w:t>. нуждающихся в замене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789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</w:tr>
      <w:tr w:rsidR="00E01435" w:rsidRPr="00CD5721" w:rsidTr="00E01435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Необходимо приобретение спецтехники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</w:tr>
      <w:tr w:rsidR="00E01435" w:rsidRPr="00CD5721" w:rsidTr="00E0143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b/>
                <w:bCs/>
                <w:lang w:eastAsia="ru-RU"/>
              </w:rPr>
              <w:t>7. Дорожно-транспортный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01435" w:rsidRPr="00CD5721" w:rsidTr="00E0143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Работы по ремонту автодорог,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тыс. м</w:t>
            </w:r>
            <w:r w:rsidRPr="00CD5721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32,41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611,96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158,85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</w:tr>
      <w:tr w:rsidR="00E01435" w:rsidRPr="00CD5721" w:rsidTr="00E0143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по текущему ремонту автодорог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тыс. м</w:t>
            </w:r>
            <w:r w:rsidRPr="00CD5721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32,41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611,96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158,85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</w:tr>
      <w:tr w:rsidR="00E01435" w:rsidRPr="00CD5721" w:rsidTr="00E0143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по капитальному ремонту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тыс. м</w:t>
            </w:r>
            <w:r w:rsidRPr="00CD5721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E01435" w:rsidRPr="00CD5721" w:rsidTr="00E01435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721">
              <w:rPr>
                <w:rFonts w:ascii="Times New Roman" w:eastAsia="Times New Roman" w:hAnsi="Times New Roman"/>
                <w:lang w:eastAsia="ru-RU"/>
              </w:rPr>
              <w:t>млн.руб</w:t>
            </w:r>
            <w:proofErr w:type="spellEnd"/>
            <w:r w:rsidRPr="00CD572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59,959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127,862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160,412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160,412</w:t>
            </w:r>
          </w:p>
        </w:tc>
      </w:tr>
      <w:tr w:rsidR="00E01435" w:rsidRPr="00CD5721" w:rsidTr="00E0143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Количество автобусных маршрутов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01435" w:rsidRPr="00CD5721" w:rsidTr="00E0143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городских маршрутов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E01435" w:rsidRPr="00CD5721" w:rsidTr="00E0143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пригородных маршрутов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1435" w:rsidRPr="00CD5721" w:rsidTr="00E0143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междугородних (межрегиональных) маршрутов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1435" w:rsidRPr="00CD5721" w:rsidTr="00E01435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Перевезено пассажиров автомобильным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тыс.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1701,50 (январь-август)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2552,25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2623,71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2570,11</w:t>
            </w:r>
          </w:p>
        </w:tc>
      </w:tr>
      <w:tr w:rsidR="00E01435" w:rsidRPr="00CD5721" w:rsidTr="00E0143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Перевезено грузов автомобильным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тыс. 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3,30    (январь-август)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435" w:rsidRPr="00CD5721" w:rsidRDefault="00E01435" w:rsidP="00E01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21">
              <w:rPr>
                <w:rFonts w:ascii="Times New Roman" w:eastAsia="Times New Roman" w:hAnsi="Times New Roman"/>
                <w:lang w:eastAsia="ru-RU"/>
              </w:rPr>
              <w:t>4,90</w:t>
            </w:r>
          </w:p>
        </w:tc>
      </w:tr>
    </w:tbl>
    <w:p w:rsidR="005537D8" w:rsidRPr="00756F2C" w:rsidRDefault="005537D8" w:rsidP="00756F2C">
      <w:pPr>
        <w:pStyle w:val="af3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5537D8" w:rsidRPr="00756F2C" w:rsidSect="00756F2C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32" w:rsidRDefault="00647432" w:rsidP="0010756E">
      <w:pPr>
        <w:spacing w:after="0" w:line="240" w:lineRule="auto"/>
      </w:pPr>
      <w:r>
        <w:separator/>
      </w:r>
    </w:p>
  </w:endnote>
  <w:endnote w:type="continuationSeparator" w:id="0">
    <w:p w:rsidR="00647432" w:rsidRDefault="00647432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32" w:rsidRDefault="00647432" w:rsidP="0010756E">
      <w:pPr>
        <w:spacing w:after="0" w:line="240" w:lineRule="auto"/>
      </w:pPr>
      <w:r>
        <w:separator/>
      </w:r>
    </w:p>
  </w:footnote>
  <w:footnote w:type="continuationSeparator" w:id="0">
    <w:p w:rsidR="00647432" w:rsidRDefault="00647432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9497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01435" w:rsidRPr="00A665CF" w:rsidRDefault="00E01435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6B2BA9">
          <w:rPr>
            <w:rFonts w:ascii="Times New Roman" w:hAnsi="Times New Roman"/>
            <w:noProof/>
            <w:sz w:val="28"/>
            <w:szCs w:val="28"/>
          </w:rPr>
          <w:t>2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01435" w:rsidRPr="00AF21E0" w:rsidRDefault="00E01435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35" w:rsidRDefault="00E01435">
    <w:pPr>
      <w:pStyle w:val="a5"/>
      <w:jc w:val="center"/>
    </w:pPr>
  </w:p>
  <w:p w:rsidR="00E01435" w:rsidRDefault="00E014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1AF616D"/>
    <w:multiLevelType w:val="hybridMultilevel"/>
    <w:tmpl w:val="7D907610"/>
    <w:lvl w:ilvl="0" w:tplc="BB229DD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BB58FA"/>
    <w:multiLevelType w:val="hybridMultilevel"/>
    <w:tmpl w:val="77883F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9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13CA5"/>
    <w:multiLevelType w:val="hybridMultilevel"/>
    <w:tmpl w:val="1F347FB8"/>
    <w:lvl w:ilvl="0" w:tplc="331891F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A64E30"/>
    <w:multiLevelType w:val="hybridMultilevel"/>
    <w:tmpl w:val="93E67892"/>
    <w:lvl w:ilvl="0" w:tplc="7FC631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CA0746"/>
    <w:multiLevelType w:val="hybridMultilevel"/>
    <w:tmpl w:val="2612C48C"/>
    <w:lvl w:ilvl="0" w:tplc="BC00F664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8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15"/>
  </w:num>
  <w:num w:numId="13">
    <w:abstractNumId w:val="14"/>
  </w:num>
  <w:num w:numId="14">
    <w:abstractNumId w:val="16"/>
  </w:num>
  <w:num w:numId="15">
    <w:abstractNumId w:val="17"/>
  </w:num>
  <w:num w:numId="16">
    <w:abstractNumId w:val="12"/>
  </w:num>
  <w:num w:numId="17">
    <w:abstractNumId w:val="10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F"/>
    <w:rsid w:val="000030DB"/>
    <w:rsid w:val="00003636"/>
    <w:rsid w:val="0000395A"/>
    <w:rsid w:val="000128EA"/>
    <w:rsid w:val="00015DF2"/>
    <w:rsid w:val="000204E6"/>
    <w:rsid w:val="00020AFA"/>
    <w:rsid w:val="00021576"/>
    <w:rsid w:val="0002289F"/>
    <w:rsid w:val="00022995"/>
    <w:rsid w:val="00023743"/>
    <w:rsid w:val="00036E90"/>
    <w:rsid w:val="000435F1"/>
    <w:rsid w:val="00043FD7"/>
    <w:rsid w:val="00044878"/>
    <w:rsid w:val="00054A92"/>
    <w:rsid w:val="0006011B"/>
    <w:rsid w:val="00060302"/>
    <w:rsid w:val="0006283E"/>
    <w:rsid w:val="00063E9F"/>
    <w:rsid w:val="00067891"/>
    <w:rsid w:val="00067E03"/>
    <w:rsid w:val="00070424"/>
    <w:rsid w:val="00071C17"/>
    <w:rsid w:val="000736E5"/>
    <w:rsid w:val="00077183"/>
    <w:rsid w:val="00077C71"/>
    <w:rsid w:val="00077D1C"/>
    <w:rsid w:val="00080745"/>
    <w:rsid w:val="0008210D"/>
    <w:rsid w:val="000839F7"/>
    <w:rsid w:val="00084782"/>
    <w:rsid w:val="00086C9A"/>
    <w:rsid w:val="00092794"/>
    <w:rsid w:val="00097DAC"/>
    <w:rsid w:val="000B2292"/>
    <w:rsid w:val="000B3A0E"/>
    <w:rsid w:val="000B5A5B"/>
    <w:rsid w:val="000C12E4"/>
    <w:rsid w:val="000C539C"/>
    <w:rsid w:val="000C62AD"/>
    <w:rsid w:val="000D0C52"/>
    <w:rsid w:val="000E02B8"/>
    <w:rsid w:val="000E0637"/>
    <w:rsid w:val="000E1FA0"/>
    <w:rsid w:val="000E39E1"/>
    <w:rsid w:val="000E41AB"/>
    <w:rsid w:val="000E5AB6"/>
    <w:rsid w:val="000E5B15"/>
    <w:rsid w:val="000E653B"/>
    <w:rsid w:val="000E7120"/>
    <w:rsid w:val="000F3A84"/>
    <w:rsid w:val="001002D3"/>
    <w:rsid w:val="001029C8"/>
    <w:rsid w:val="00102F21"/>
    <w:rsid w:val="0010681B"/>
    <w:rsid w:val="0010756E"/>
    <w:rsid w:val="00107C53"/>
    <w:rsid w:val="00110072"/>
    <w:rsid w:val="00110922"/>
    <w:rsid w:val="00110C6C"/>
    <w:rsid w:val="00112883"/>
    <w:rsid w:val="001159C1"/>
    <w:rsid w:val="001166A2"/>
    <w:rsid w:val="00116E15"/>
    <w:rsid w:val="001175E8"/>
    <w:rsid w:val="0012054D"/>
    <w:rsid w:val="00121E81"/>
    <w:rsid w:val="00127DAD"/>
    <w:rsid w:val="00136180"/>
    <w:rsid w:val="00136187"/>
    <w:rsid w:val="00140723"/>
    <w:rsid w:val="001441F0"/>
    <w:rsid w:val="0015034A"/>
    <w:rsid w:val="00153A51"/>
    <w:rsid w:val="0015657F"/>
    <w:rsid w:val="00163F58"/>
    <w:rsid w:val="00166742"/>
    <w:rsid w:val="00167E1B"/>
    <w:rsid w:val="001732AD"/>
    <w:rsid w:val="00176B6E"/>
    <w:rsid w:val="0018121A"/>
    <w:rsid w:val="001816CA"/>
    <w:rsid w:val="001838F5"/>
    <w:rsid w:val="00183DB3"/>
    <w:rsid w:val="00192CC2"/>
    <w:rsid w:val="00194146"/>
    <w:rsid w:val="00195B33"/>
    <w:rsid w:val="001A5BD5"/>
    <w:rsid w:val="001A5E07"/>
    <w:rsid w:val="001B522E"/>
    <w:rsid w:val="001B70CD"/>
    <w:rsid w:val="001B79B0"/>
    <w:rsid w:val="001B7E1A"/>
    <w:rsid w:val="001C1383"/>
    <w:rsid w:val="001C1EA6"/>
    <w:rsid w:val="001D2A87"/>
    <w:rsid w:val="001D5529"/>
    <w:rsid w:val="001D6420"/>
    <w:rsid w:val="001E238D"/>
    <w:rsid w:val="001E4AE3"/>
    <w:rsid w:val="001E7528"/>
    <w:rsid w:val="001F4C1F"/>
    <w:rsid w:val="001F4D5C"/>
    <w:rsid w:val="001F6356"/>
    <w:rsid w:val="00206FA2"/>
    <w:rsid w:val="002100B4"/>
    <w:rsid w:val="00211B33"/>
    <w:rsid w:val="00211DDB"/>
    <w:rsid w:val="00213FAC"/>
    <w:rsid w:val="00217464"/>
    <w:rsid w:val="00226F47"/>
    <w:rsid w:val="00232ADD"/>
    <w:rsid w:val="00234561"/>
    <w:rsid w:val="00237BFB"/>
    <w:rsid w:val="0024066E"/>
    <w:rsid w:val="0024134F"/>
    <w:rsid w:val="00241392"/>
    <w:rsid w:val="0024256B"/>
    <w:rsid w:val="0025288F"/>
    <w:rsid w:val="00253A0B"/>
    <w:rsid w:val="00253CE3"/>
    <w:rsid w:val="002557D5"/>
    <w:rsid w:val="00255FDB"/>
    <w:rsid w:val="0026134F"/>
    <w:rsid w:val="002628F6"/>
    <w:rsid w:val="00262F40"/>
    <w:rsid w:val="00274CCC"/>
    <w:rsid w:val="00280392"/>
    <w:rsid w:val="0028053F"/>
    <w:rsid w:val="00280E76"/>
    <w:rsid w:val="00282E9A"/>
    <w:rsid w:val="00282EEF"/>
    <w:rsid w:val="00287430"/>
    <w:rsid w:val="00297A6E"/>
    <w:rsid w:val="002A4F90"/>
    <w:rsid w:val="002B64E3"/>
    <w:rsid w:val="002B682D"/>
    <w:rsid w:val="002C0839"/>
    <w:rsid w:val="002C1524"/>
    <w:rsid w:val="002C327B"/>
    <w:rsid w:val="002D1040"/>
    <w:rsid w:val="002D19A5"/>
    <w:rsid w:val="002D4808"/>
    <w:rsid w:val="002D708A"/>
    <w:rsid w:val="002E1110"/>
    <w:rsid w:val="002E57F0"/>
    <w:rsid w:val="002F057E"/>
    <w:rsid w:val="002F1442"/>
    <w:rsid w:val="002F25CC"/>
    <w:rsid w:val="002F37C5"/>
    <w:rsid w:val="002F4D12"/>
    <w:rsid w:val="002F6661"/>
    <w:rsid w:val="002F680D"/>
    <w:rsid w:val="00326685"/>
    <w:rsid w:val="00341305"/>
    <w:rsid w:val="00346E27"/>
    <w:rsid w:val="003505D1"/>
    <w:rsid w:val="00353BAB"/>
    <w:rsid w:val="00353F85"/>
    <w:rsid w:val="003579A5"/>
    <w:rsid w:val="00364778"/>
    <w:rsid w:val="003647E6"/>
    <w:rsid w:val="00364ECC"/>
    <w:rsid w:val="00365A51"/>
    <w:rsid w:val="003802E0"/>
    <w:rsid w:val="00380959"/>
    <w:rsid w:val="00380F53"/>
    <w:rsid w:val="00393996"/>
    <w:rsid w:val="00393ADE"/>
    <w:rsid w:val="00397147"/>
    <w:rsid w:val="003A4D66"/>
    <w:rsid w:val="003A526A"/>
    <w:rsid w:val="003A7CE9"/>
    <w:rsid w:val="003A7E55"/>
    <w:rsid w:val="003B6C38"/>
    <w:rsid w:val="003C0644"/>
    <w:rsid w:val="003C0E66"/>
    <w:rsid w:val="003C26FA"/>
    <w:rsid w:val="003C4DF0"/>
    <w:rsid w:val="003D3739"/>
    <w:rsid w:val="003D4431"/>
    <w:rsid w:val="003E140D"/>
    <w:rsid w:val="003F10C1"/>
    <w:rsid w:val="003F35B5"/>
    <w:rsid w:val="003F488C"/>
    <w:rsid w:val="00401A62"/>
    <w:rsid w:val="00403564"/>
    <w:rsid w:val="00405591"/>
    <w:rsid w:val="004137AC"/>
    <w:rsid w:val="0041477B"/>
    <w:rsid w:val="004229C7"/>
    <w:rsid w:val="00423EE1"/>
    <w:rsid w:val="00427386"/>
    <w:rsid w:val="004343D8"/>
    <w:rsid w:val="00437BCA"/>
    <w:rsid w:val="004401C9"/>
    <w:rsid w:val="00440576"/>
    <w:rsid w:val="00440C99"/>
    <w:rsid w:val="0044319C"/>
    <w:rsid w:val="00443F0D"/>
    <w:rsid w:val="00447976"/>
    <w:rsid w:val="0045660F"/>
    <w:rsid w:val="004568E2"/>
    <w:rsid w:val="004576C7"/>
    <w:rsid w:val="004611E8"/>
    <w:rsid w:val="004702A1"/>
    <w:rsid w:val="004705FA"/>
    <w:rsid w:val="00477448"/>
    <w:rsid w:val="00477C9B"/>
    <w:rsid w:val="00482B14"/>
    <w:rsid w:val="00483C7D"/>
    <w:rsid w:val="004864CC"/>
    <w:rsid w:val="00487338"/>
    <w:rsid w:val="0048745F"/>
    <w:rsid w:val="0049289A"/>
    <w:rsid w:val="004956C3"/>
    <w:rsid w:val="0049639E"/>
    <w:rsid w:val="00497FBC"/>
    <w:rsid w:val="004A28D7"/>
    <w:rsid w:val="004A44FC"/>
    <w:rsid w:val="004A65DF"/>
    <w:rsid w:val="004B1EC9"/>
    <w:rsid w:val="004B4D97"/>
    <w:rsid w:val="004C1EC0"/>
    <w:rsid w:val="004C70F1"/>
    <w:rsid w:val="004D10D8"/>
    <w:rsid w:val="004D55A7"/>
    <w:rsid w:val="004F0AA2"/>
    <w:rsid w:val="004F55A1"/>
    <w:rsid w:val="005023BF"/>
    <w:rsid w:val="0050433F"/>
    <w:rsid w:val="00510F0D"/>
    <w:rsid w:val="005122F9"/>
    <w:rsid w:val="005206EE"/>
    <w:rsid w:val="00522722"/>
    <w:rsid w:val="005356F2"/>
    <w:rsid w:val="00535FE0"/>
    <w:rsid w:val="005441A7"/>
    <w:rsid w:val="00546244"/>
    <w:rsid w:val="005537D8"/>
    <w:rsid w:val="00555CEC"/>
    <w:rsid w:val="00555DE7"/>
    <w:rsid w:val="00557810"/>
    <w:rsid w:val="00561268"/>
    <w:rsid w:val="00564048"/>
    <w:rsid w:val="00564096"/>
    <w:rsid w:val="00571BD0"/>
    <w:rsid w:val="00573118"/>
    <w:rsid w:val="005801FF"/>
    <w:rsid w:val="00581F2B"/>
    <w:rsid w:val="00582FA4"/>
    <w:rsid w:val="0058714F"/>
    <w:rsid w:val="00587967"/>
    <w:rsid w:val="005A1A4E"/>
    <w:rsid w:val="005A65E6"/>
    <w:rsid w:val="005A7CEC"/>
    <w:rsid w:val="005B5B3A"/>
    <w:rsid w:val="005C0770"/>
    <w:rsid w:val="005C5AB7"/>
    <w:rsid w:val="005D2BA3"/>
    <w:rsid w:val="005D4896"/>
    <w:rsid w:val="005D49DD"/>
    <w:rsid w:val="005E0A0F"/>
    <w:rsid w:val="005E2055"/>
    <w:rsid w:val="005F1AF3"/>
    <w:rsid w:val="005F4046"/>
    <w:rsid w:val="005F46C9"/>
    <w:rsid w:val="00602602"/>
    <w:rsid w:val="00605E7F"/>
    <w:rsid w:val="00611714"/>
    <w:rsid w:val="00614051"/>
    <w:rsid w:val="00616E4B"/>
    <w:rsid w:val="006305E9"/>
    <w:rsid w:val="00634B13"/>
    <w:rsid w:val="00642D38"/>
    <w:rsid w:val="00644019"/>
    <w:rsid w:val="00647432"/>
    <w:rsid w:val="0064751E"/>
    <w:rsid w:val="00650AC9"/>
    <w:rsid w:val="00651968"/>
    <w:rsid w:val="00655AEE"/>
    <w:rsid w:val="00662703"/>
    <w:rsid w:val="00665391"/>
    <w:rsid w:val="006706B9"/>
    <w:rsid w:val="00673282"/>
    <w:rsid w:val="0067600D"/>
    <w:rsid w:val="00682D59"/>
    <w:rsid w:val="00685402"/>
    <w:rsid w:val="00686375"/>
    <w:rsid w:val="00687025"/>
    <w:rsid w:val="0069114B"/>
    <w:rsid w:val="00693221"/>
    <w:rsid w:val="00695BDB"/>
    <w:rsid w:val="006A4D20"/>
    <w:rsid w:val="006A69C0"/>
    <w:rsid w:val="006A7EEF"/>
    <w:rsid w:val="006B2BA9"/>
    <w:rsid w:val="006B2BF4"/>
    <w:rsid w:val="006B53F7"/>
    <w:rsid w:val="006C088C"/>
    <w:rsid w:val="006C1E8A"/>
    <w:rsid w:val="006C240D"/>
    <w:rsid w:val="006C60DE"/>
    <w:rsid w:val="006C6329"/>
    <w:rsid w:val="006C7FC9"/>
    <w:rsid w:val="006D236D"/>
    <w:rsid w:val="006D61C2"/>
    <w:rsid w:val="006E450D"/>
    <w:rsid w:val="006E7911"/>
    <w:rsid w:val="006F1EAB"/>
    <w:rsid w:val="006F5445"/>
    <w:rsid w:val="007037D2"/>
    <w:rsid w:val="00703AD1"/>
    <w:rsid w:val="00706B94"/>
    <w:rsid w:val="0070749F"/>
    <w:rsid w:val="00710929"/>
    <w:rsid w:val="00710C6F"/>
    <w:rsid w:val="00711253"/>
    <w:rsid w:val="00711F44"/>
    <w:rsid w:val="00714024"/>
    <w:rsid w:val="007208A7"/>
    <w:rsid w:val="00726517"/>
    <w:rsid w:val="00733E94"/>
    <w:rsid w:val="00734026"/>
    <w:rsid w:val="00736845"/>
    <w:rsid w:val="007427AC"/>
    <w:rsid w:val="00745A89"/>
    <w:rsid w:val="00745B2E"/>
    <w:rsid w:val="0075038D"/>
    <w:rsid w:val="00756F2C"/>
    <w:rsid w:val="00760ABB"/>
    <w:rsid w:val="00760B4B"/>
    <w:rsid w:val="00762CDF"/>
    <w:rsid w:val="00767ABC"/>
    <w:rsid w:val="007722F4"/>
    <w:rsid w:val="00785AF3"/>
    <w:rsid w:val="00787E97"/>
    <w:rsid w:val="00795E32"/>
    <w:rsid w:val="007B2CE0"/>
    <w:rsid w:val="007B3105"/>
    <w:rsid w:val="007B640F"/>
    <w:rsid w:val="007C1717"/>
    <w:rsid w:val="007C561D"/>
    <w:rsid w:val="007C5698"/>
    <w:rsid w:val="007D4AA4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22FE2"/>
    <w:rsid w:val="00830D8B"/>
    <w:rsid w:val="00832481"/>
    <w:rsid w:val="008339FF"/>
    <w:rsid w:val="008362EB"/>
    <w:rsid w:val="00846EEF"/>
    <w:rsid w:val="00853529"/>
    <w:rsid w:val="00854637"/>
    <w:rsid w:val="00855DF0"/>
    <w:rsid w:val="008614DF"/>
    <w:rsid w:val="008627B5"/>
    <w:rsid w:val="00864C7B"/>
    <w:rsid w:val="00882CF4"/>
    <w:rsid w:val="00885FC1"/>
    <w:rsid w:val="00887587"/>
    <w:rsid w:val="00887D35"/>
    <w:rsid w:val="00887EBE"/>
    <w:rsid w:val="008902D0"/>
    <w:rsid w:val="0089146F"/>
    <w:rsid w:val="008931C0"/>
    <w:rsid w:val="00893EB4"/>
    <w:rsid w:val="00896FDF"/>
    <w:rsid w:val="008A1927"/>
    <w:rsid w:val="008A23CE"/>
    <w:rsid w:val="008A27E4"/>
    <w:rsid w:val="008A50D2"/>
    <w:rsid w:val="008A6438"/>
    <w:rsid w:val="008B0C2A"/>
    <w:rsid w:val="008B271C"/>
    <w:rsid w:val="008B27E4"/>
    <w:rsid w:val="008C114F"/>
    <w:rsid w:val="008C4E31"/>
    <w:rsid w:val="008D2DB9"/>
    <w:rsid w:val="008D3E14"/>
    <w:rsid w:val="008F0A10"/>
    <w:rsid w:val="008F22A4"/>
    <w:rsid w:val="008F5EF7"/>
    <w:rsid w:val="008F7E41"/>
    <w:rsid w:val="008F7EB9"/>
    <w:rsid w:val="00900A03"/>
    <w:rsid w:val="009015A1"/>
    <w:rsid w:val="009110FC"/>
    <w:rsid w:val="00914625"/>
    <w:rsid w:val="0092374C"/>
    <w:rsid w:val="009243C6"/>
    <w:rsid w:val="009246A4"/>
    <w:rsid w:val="00930BD7"/>
    <w:rsid w:val="00940461"/>
    <w:rsid w:val="0094079A"/>
    <w:rsid w:val="00945A01"/>
    <w:rsid w:val="00946645"/>
    <w:rsid w:val="009476AD"/>
    <w:rsid w:val="0095786A"/>
    <w:rsid w:val="00963519"/>
    <w:rsid w:val="00967D3D"/>
    <w:rsid w:val="00976B90"/>
    <w:rsid w:val="00980DF5"/>
    <w:rsid w:val="00984F5B"/>
    <w:rsid w:val="00985413"/>
    <w:rsid w:val="009861A8"/>
    <w:rsid w:val="0098755A"/>
    <w:rsid w:val="009902C3"/>
    <w:rsid w:val="00991D5C"/>
    <w:rsid w:val="00991F7B"/>
    <w:rsid w:val="009932C2"/>
    <w:rsid w:val="00994546"/>
    <w:rsid w:val="00997D48"/>
    <w:rsid w:val="009A057D"/>
    <w:rsid w:val="009A1F87"/>
    <w:rsid w:val="009A389A"/>
    <w:rsid w:val="009A5AA0"/>
    <w:rsid w:val="009A7D15"/>
    <w:rsid w:val="009B5D9A"/>
    <w:rsid w:val="009B6DBF"/>
    <w:rsid w:val="009B73A0"/>
    <w:rsid w:val="009C2F3A"/>
    <w:rsid w:val="009C7217"/>
    <w:rsid w:val="009C76A3"/>
    <w:rsid w:val="009D26CD"/>
    <w:rsid w:val="009D6ACC"/>
    <w:rsid w:val="009E01FE"/>
    <w:rsid w:val="009E23ED"/>
    <w:rsid w:val="009E2504"/>
    <w:rsid w:val="009F01A6"/>
    <w:rsid w:val="00A01D1F"/>
    <w:rsid w:val="00A01FE3"/>
    <w:rsid w:val="00A06EE3"/>
    <w:rsid w:val="00A103F8"/>
    <w:rsid w:val="00A104B3"/>
    <w:rsid w:val="00A136C9"/>
    <w:rsid w:val="00A152F8"/>
    <w:rsid w:val="00A16858"/>
    <w:rsid w:val="00A24E87"/>
    <w:rsid w:val="00A35B42"/>
    <w:rsid w:val="00A41984"/>
    <w:rsid w:val="00A41EDD"/>
    <w:rsid w:val="00A436B6"/>
    <w:rsid w:val="00A54818"/>
    <w:rsid w:val="00A56338"/>
    <w:rsid w:val="00A64271"/>
    <w:rsid w:val="00A665CF"/>
    <w:rsid w:val="00A665FA"/>
    <w:rsid w:val="00A71DCB"/>
    <w:rsid w:val="00A73345"/>
    <w:rsid w:val="00A75028"/>
    <w:rsid w:val="00A82423"/>
    <w:rsid w:val="00A94C56"/>
    <w:rsid w:val="00A96CD5"/>
    <w:rsid w:val="00AA3D8B"/>
    <w:rsid w:val="00AA7D02"/>
    <w:rsid w:val="00AB0361"/>
    <w:rsid w:val="00AB1C9B"/>
    <w:rsid w:val="00AB46E7"/>
    <w:rsid w:val="00AC342E"/>
    <w:rsid w:val="00AC5C68"/>
    <w:rsid w:val="00AD103E"/>
    <w:rsid w:val="00AD50A6"/>
    <w:rsid w:val="00AD6A1A"/>
    <w:rsid w:val="00AE10D6"/>
    <w:rsid w:val="00AE3042"/>
    <w:rsid w:val="00AE4226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B027CA"/>
    <w:rsid w:val="00B061FD"/>
    <w:rsid w:val="00B23F39"/>
    <w:rsid w:val="00B24DE6"/>
    <w:rsid w:val="00B2589B"/>
    <w:rsid w:val="00B30DE5"/>
    <w:rsid w:val="00B40940"/>
    <w:rsid w:val="00B5124D"/>
    <w:rsid w:val="00B515DD"/>
    <w:rsid w:val="00B61E42"/>
    <w:rsid w:val="00B65C49"/>
    <w:rsid w:val="00B66F8A"/>
    <w:rsid w:val="00B752AD"/>
    <w:rsid w:val="00B7766C"/>
    <w:rsid w:val="00B81CE0"/>
    <w:rsid w:val="00B84B54"/>
    <w:rsid w:val="00B862D5"/>
    <w:rsid w:val="00B917E5"/>
    <w:rsid w:val="00B91807"/>
    <w:rsid w:val="00B91B08"/>
    <w:rsid w:val="00BA008E"/>
    <w:rsid w:val="00BA0385"/>
    <w:rsid w:val="00BA18B3"/>
    <w:rsid w:val="00BA72AE"/>
    <w:rsid w:val="00BB4B24"/>
    <w:rsid w:val="00BC0447"/>
    <w:rsid w:val="00BC0DBA"/>
    <w:rsid w:val="00BC1266"/>
    <w:rsid w:val="00BC36A2"/>
    <w:rsid w:val="00BC5721"/>
    <w:rsid w:val="00BC6CEF"/>
    <w:rsid w:val="00BD28F8"/>
    <w:rsid w:val="00BD3D9C"/>
    <w:rsid w:val="00BD6EF0"/>
    <w:rsid w:val="00BE298A"/>
    <w:rsid w:val="00BE39B4"/>
    <w:rsid w:val="00BE56E9"/>
    <w:rsid w:val="00BF2C6A"/>
    <w:rsid w:val="00BF3EFA"/>
    <w:rsid w:val="00BF6476"/>
    <w:rsid w:val="00C05D73"/>
    <w:rsid w:val="00C05E4C"/>
    <w:rsid w:val="00C11515"/>
    <w:rsid w:val="00C14BA3"/>
    <w:rsid w:val="00C24565"/>
    <w:rsid w:val="00C30342"/>
    <w:rsid w:val="00C33D56"/>
    <w:rsid w:val="00C34DE8"/>
    <w:rsid w:val="00C35E07"/>
    <w:rsid w:val="00C52BFB"/>
    <w:rsid w:val="00C55B85"/>
    <w:rsid w:val="00C67572"/>
    <w:rsid w:val="00C67DB7"/>
    <w:rsid w:val="00C70C3E"/>
    <w:rsid w:val="00C73CF0"/>
    <w:rsid w:val="00C75793"/>
    <w:rsid w:val="00C759BF"/>
    <w:rsid w:val="00C75B20"/>
    <w:rsid w:val="00C87ADD"/>
    <w:rsid w:val="00C908F6"/>
    <w:rsid w:val="00C91B1F"/>
    <w:rsid w:val="00C96681"/>
    <w:rsid w:val="00C9772D"/>
    <w:rsid w:val="00CA2708"/>
    <w:rsid w:val="00CA3360"/>
    <w:rsid w:val="00CA61F0"/>
    <w:rsid w:val="00CB0ADF"/>
    <w:rsid w:val="00CB302D"/>
    <w:rsid w:val="00CC0C32"/>
    <w:rsid w:val="00CC215C"/>
    <w:rsid w:val="00CC30EA"/>
    <w:rsid w:val="00CC797F"/>
    <w:rsid w:val="00CD5721"/>
    <w:rsid w:val="00CE0343"/>
    <w:rsid w:val="00CE1360"/>
    <w:rsid w:val="00CE18A0"/>
    <w:rsid w:val="00CF47C9"/>
    <w:rsid w:val="00CF5334"/>
    <w:rsid w:val="00CF725F"/>
    <w:rsid w:val="00CF78C5"/>
    <w:rsid w:val="00CF7B57"/>
    <w:rsid w:val="00D02743"/>
    <w:rsid w:val="00D03146"/>
    <w:rsid w:val="00D047AB"/>
    <w:rsid w:val="00D0751A"/>
    <w:rsid w:val="00D0794B"/>
    <w:rsid w:val="00D11349"/>
    <w:rsid w:val="00D17FCE"/>
    <w:rsid w:val="00D201AF"/>
    <w:rsid w:val="00D21CE5"/>
    <w:rsid w:val="00D21F4F"/>
    <w:rsid w:val="00D30CD7"/>
    <w:rsid w:val="00D32537"/>
    <w:rsid w:val="00D334DB"/>
    <w:rsid w:val="00D33A09"/>
    <w:rsid w:val="00D44887"/>
    <w:rsid w:val="00D4655B"/>
    <w:rsid w:val="00D50184"/>
    <w:rsid w:val="00D54A24"/>
    <w:rsid w:val="00D5645D"/>
    <w:rsid w:val="00D56980"/>
    <w:rsid w:val="00D6045E"/>
    <w:rsid w:val="00D60EDF"/>
    <w:rsid w:val="00D6449A"/>
    <w:rsid w:val="00D65155"/>
    <w:rsid w:val="00D666ED"/>
    <w:rsid w:val="00D6742F"/>
    <w:rsid w:val="00D709AF"/>
    <w:rsid w:val="00D72ED3"/>
    <w:rsid w:val="00D83F34"/>
    <w:rsid w:val="00D8418E"/>
    <w:rsid w:val="00D84AF9"/>
    <w:rsid w:val="00D85737"/>
    <w:rsid w:val="00D87887"/>
    <w:rsid w:val="00D90089"/>
    <w:rsid w:val="00D91DA3"/>
    <w:rsid w:val="00D94E73"/>
    <w:rsid w:val="00D9557D"/>
    <w:rsid w:val="00DA3C94"/>
    <w:rsid w:val="00DA5840"/>
    <w:rsid w:val="00DB7942"/>
    <w:rsid w:val="00DC4F41"/>
    <w:rsid w:val="00DC6187"/>
    <w:rsid w:val="00DD0266"/>
    <w:rsid w:val="00DD25C1"/>
    <w:rsid w:val="00DD4186"/>
    <w:rsid w:val="00DD73B5"/>
    <w:rsid w:val="00DE3454"/>
    <w:rsid w:val="00DE4EF1"/>
    <w:rsid w:val="00E01435"/>
    <w:rsid w:val="00E063F7"/>
    <w:rsid w:val="00E2150F"/>
    <w:rsid w:val="00E24B44"/>
    <w:rsid w:val="00E25F52"/>
    <w:rsid w:val="00E31F9F"/>
    <w:rsid w:val="00E44DEF"/>
    <w:rsid w:val="00E455D4"/>
    <w:rsid w:val="00E625FF"/>
    <w:rsid w:val="00E62CE5"/>
    <w:rsid w:val="00E63871"/>
    <w:rsid w:val="00E6464E"/>
    <w:rsid w:val="00E7014F"/>
    <w:rsid w:val="00E72FBF"/>
    <w:rsid w:val="00E77223"/>
    <w:rsid w:val="00E96380"/>
    <w:rsid w:val="00EA3DDD"/>
    <w:rsid w:val="00EA4623"/>
    <w:rsid w:val="00EB2B5E"/>
    <w:rsid w:val="00EB7310"/>
    <w:rsid w:val="00EC0D8A"/>
    <w:rsid w:val="00EC4527"/>
    <w:rsid w:val="00EC5A7D"/>
    <w:rsid w:val="00ED39A5"/>
    <w:rsid w:val="00ED410E"/>
    <w:rsid w:val="00ED4699"/>
    <w:rsid w:val="00ED4817"/>
    <w:rsid w:val="00EE055C"/>
    <w:rsid w:val="00EE0C32"/>
    <w:rsid w:val="00EE1304"/>
    <w:rsid w:val="00EE3D3B"/>
    <w:rsid w:val="00EE51CF"/>
    <w:rsid w:val="00EE70F8"/>
    <w:rsid w:val="00EF0798"/>
    <w:rsid w:val="00EF43B7"/>
    <w:rsid w:val="00EF53D1"/>
    <w:rsid w:val="00F02506"/>
    <w:rsid w:val="00F13688"/>
    <w:rsid w:val="00F17B0D"/>
    <w:rsid w:val="00F210AE"/>
    <w:rsid w:val="00F21977"/>
    <w:rsid w:val="00F2628D"/>
    <w:rsid w:val="00F26563"/>
    <w:rsid w:val="00F33DB7"/>
    <w:rsid w:val="00F43659"/>
    <w:rsid w:val="00F57377"/>
    <w:rsid w:val="00F61CF4"/>
    <w:rsid w:val="00F62182"/>
    <w:rsid w:val="00F65BCA"/>
    <w:rsid w:val="00F66127"/>
    <w:rsid w:val="00F7102E"/>
    <w:rsid w:val="00F72290"/>
    <w:rsid w:val="00F83A5F"/>
    <w:rsid w:val="00F8528C"/>
    <w:rsid w:val="00F85EF5"/>
    <w:rsid w:val="00F86180"/>
    <w:rsid w:val="00F95020"/>
    <w:rsid w:val="00F96ABF"/>
    <w:rsid w:val="00F96EE7"/>
    <w:rsid w:val="00F97B98"/>
    <w:rsid w:val="00FA0749"/>
    <w:rsid w:val="00FA2613"/>
    <w:rsid w:val="00FA39BC"/>
    <w:rsid w:val="00FB3319"/>
    <w:rsid w:val="00FB357D"/>
    <w:rsid w:val="00FB43AF"/>
    <w:rsid w:val="00FB4426"/>
    <w:rsid w:val="00FB4FCD"/>
    <w:rsid w:val="00FB6675"/>
    <w:rsid w:val="00FC21D3"/>
    <w:rsid w:val="00FC4838"/>
    <w:rsid w:val="00FE0136"/>
    <w:rsid w:val="00FE024B"/>
    <w:rsid w:val="00FE669C"/>
    <w:rsid w:val="00FF621A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2B7681"/>
  <w15:docId w15:val="{B73C1823-10AA-414A-A865-9C0F4992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99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756F2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756F2C"/>
    <w:rPr>
      <w:rFonts w:ascii="Times New Roman" w:eastAsia="Times New Roman" w:hAnsi="Times New Roman"/>
      <w:b/>
      <w:sz w:val="28"/>
    </w:rPr>
  </w:style>
  <w:style w:type="paragraph" w:styleId="af7">
    <w:name w:val="Body Text"/>
    <w:basedOn w:val="a"/>
    <w:link w:val="af8"/>
    <w:unhideWhenUsed/>
    <w:rsid w:val="00756F2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756F2C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9">
    <w:name w:val="Body Text Indent"/>
    <w:basedOn w:val="a"/>
    <w:link w:val="afa"/>
    <w:unhideWhenUsed/>
    <w:rsid w:val="00756F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756F2C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EC08-842C-4F15-9D5F-78BD60F2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13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24584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81</cp:revision>
  <cp:lastPrinted>2024-11-06T08:43:00Z</cp:lastPrinted>
  <dcterms:created xsi:type="dcterms:W3CDTF">2024-08-26T10:44:00Z</dcterms:created>
  <dcterms:modified xsi:type="dcterms:W3CDTF">2025-02-12T11:57:00Z</dcterms:modified>
</cp:coreProperties>
</file>